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黑体" w:hAnsi="黑体" w:eastAsia="黑体"/>
          <w:sz w:val="28"/>
          <w:szCs w:val="28"/>
        </w:rPr>
      </w:pPr>
      <w:bookmarkStart w:id="0" w:name="_GoBack"/>
      <w:bookmarkEnd w:id="0"/>
      <w:r>
        <w:rPr>
          <w:rFonts w:hint="eastAsia" w:ascii="黑体" w:hAnsi="黑体" w:eastAsia="黑体"/>
          <w:sz w:val="28"/>
          <w:szCs w:val="28"/>
        </w:rPr>
        <w:t>经济与管理学院（与江苏沿海沿江研究院合署）</w:t>
      </w:r>
      <w:r>
        <w:rPr>
          <w:rFonts w:ascii="黑体" w:hAnsi="黑体" w:eastAsia="黑体"/>
          <w:sz w:val="28"/>
          <w:szCs w:val="28"/>
        </w:rPr>
        <w:t>2019-2021</w:t>
      </w:r>
      <w:r>
        <w:rPr>
          <w:rFonts w:hint="eastAsia" w:ascii="黑体" w:hAnsi="黑体" w:eastAsia="黑体"/>
          <w:sz w:val="28"/>
          <w:szCs w:val="28"/>
        </w:rPr>
        <w:t>年聘期</w:t>
      </w:r>
    </w:p>
    <w:p>
      <w:pPr>
        <w:spacing w:line="460" w:lineRule="exact"/>
        <w:jc w:val="center"/>
        <w:rPr>
          <w:rFonts w:ascii="黑体" w:hAnsi="黑体" w:eastAsia="黑体"/>
          <w:sz w:val="28"/>
          <w:szCs w:val="28"/>
        </w:rPr>
      </w:pPr>
      <w:r>
        <w:rPr>
          <w:rFonts w:hint="eastAsia" w:ascii="黑体" w:hAnsi="黑体" w:eastAsia="黑体"/>
          <w:sz w:val="28"/>
          <w:szCs w:val="28"/>
        </w:rPr>
        <w:t>教学科研岗位绩效定档（4档及以下）工作方案</w:t>
      </w:r>
    </w:p>
    <w:p>
      <w:pPr>
        <w:autoSpaceDE w:val="0"/>
        <w:autoSpaceDN w:val="0"/>
        <w:adjustRightInd w:val="0"/>
        <w:spacing w:line="400" w:lineRule="exact"/>
        <w:jc w:val="left"/>
        <w:rPr>
          <w:rFonts w:ascii="宋体" w:hAnsi="宋体" w:cs="仿宋_GB2312"/>
          <w:color w:val="000000"/>
          <w:kern w:val="0"/>
          <w:sz w:val="24"/>
          <w:szCs w:val="24"/>
        </w:rPr>
      </w:pP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根据《南通大学岗位聘用工作实施办法》（通大人〔</w:t>
      </w:r>
      <w:r>
        <w:rPr>
          <w:rFonts w:ascii="宋体" w:hAnsi="宋体" w:cs="仿宋_GB2312"/>
          <w:color w:val="000000"/>
          <w:kern w:val="0"/>
          <w:sz w:val="24"/>
          <w:szCs w:val="24"/>
        </w:rPr>
        <w:t>2019</w:t>
      </w:r>
      <w:r>
        <w:rPr>
          <w:rFonts w:hint="eastAsia" w:ascii="宋体" w:hAnsi="宋体" w:cs="仿宋_GB2312"/>
          <w:color w:val="000000"/>
          <w:kern w:val="0"/>
          <w:sz w:val="24"/>
          <w:szCs w:val="24"/>
        </w:rPr>
        <w:t>〕</w:t>
      </w:r>
      <w:r>
        <w:rPr>
          <w:rFonts w:ascii="宋体" w:hAnsi="宋体" w:cs="仿宋_GB2312"/>
          <w:color w:val="000000"/>
          <w:kern w:val="0"/>
          <w:sz w:val="24"/>
          <w:szCs w:val="24"/>
        </w:rPr>
        <w:t>6</w:t>
      </w:r>
      <w:r>
        <w:rPr>
          <w:rFonts w:hint="eastAsia" w:ascii="宋体" w:hAnsi="宋体" w:cs="仿宋_GB2312"/>
          <w:color w:val="000000"/>
          <w:kern w:val="0"/>
          <w:sz w:val="24"/>
          <w:szCs w:val="24"/>
        </w:rPr>
        <w:t>号）、《南通大学绩效工资实施办法》（通大人〔</w:t>
      </w:r>
      <w:r>
        <w:rPr>
          <w:rFonts w:ascii="宋体" w:hAnsi="宋体" w:cs="仿宋_GB2312"/>
          <w:color w:val="000000"/>
          <w:kern w:val="0"/>
          <w:sz w:val="24"/>
          <w:szCs w:val="24"/>
        </w:rPr>
        <w:t>2019</w:t>
      </w:r>
      <w:r>
        <w:rPr>
          <w:rFonts w:hint="eastAsia" w:ascii="宋体" w:hAnsi="宋体" w:cs="仿宋_GB2312"/>
          <w:color w:val="000000"/>
          <w:kern w:val="0"/>
          <w:sz w:val="24"/>
          <w:szCs w:val="24"/>
        </w:rPr>
        <w:t>〕</w:t>
      </w:r>
      <w:r>
        <w:rPr>
          <w:rFonts w:ascii="宋体" w:hAnsi="宋体" w:cs="仿宋_GB2312"/>
          <w:color w:val="000000"/>
          <w:kern w:val="0"/>
          <w:sz w:val="24"/>
          <w:szCs w:val="24"/>
        </w:rPr>
        <w:t>7</w:t>
      </w:r>
      <w:r>
        <w:rPr>
          <w:rFonts w:hint="eastAsia" w:ascii="宋体" w:hAnsi="宋体" w:cs="仿宋_GB2312"/>
          <w:color w:val="000000"/>
          <w:kern w:val="0"/>
          <w:sz w:val="24"/>
          <w:szCs w:val="24"/>
        </w:rPr>
        <w:t>号）、《南通大学2019-2021年聘期岗位绩效定档工作方案》（</w:t>
      </w:r>
      <w:r>
        <w:rPr>
          <w:rFonts w:ascii="宋体" w:hAnsi="宋体" w:cs="仿宋_GB2312"/>
          <w:color w:val="000000"/>
          <w:kern w:val="0"/>
          <w:sz w:val="24"/>
          <w:szCs w:val="24"/>
        </w:rPr>
        <w:t>通大人〔2019〕20号</w:t>
      </w:r>
      <w:r>
        <w:rPr>
          <w:rFonts w:hint="eastAsia" w:ascii="宋体" w:hAnsi="宋体" w:cs="仿宋_GB2312"/>
          <w:color w:val="000000"/>
          <w:kern w:val="0"/>
          <w:sz w:val="24"/>
          <w:szCs w:val="24"/>
        </w:rPr>
        <w:t>）等文件精神，制订</w:t>
      </w:r>
      <w:r>
        <w:rPr>
          <w:rFonts w:ascii="宋体" w:hAnsi="宋体" w:cs="仿宋_GB2312"/>
          <w:color w:val="000000"/>
          <w:kern w:val="0"/>
          <w:sz w:val="24"/>
          <w:szCs w:val="24"/>
        </w:rPr>
        <w:t>经济与管理学院</w:t>
      </w:r>
      <w:r>
        <w:rPr>
          <w:rFonts w:hint="eastAsia" w:ascii="宋体" w:hAnsi="宋体" w:cs="仿宋_GB2312"/>
          <w:color w:val="000000"/>
          <w:kern w:val="0"/>
          <w:sz w:val="24"/>
          <w:szCs w:val="24"/>
        </w:rPr>
        <w:t>（与江苏沿海沿江研究院合署）</w:t>
      </w:r>
      <w:r>
        <w:rPr>
          <w:rFonts w:ascii="宋体" w:hAnsi="宋体" w:cs="仿宋_GB2312"/>
          <w:color w:val="000000"/>
          <w:kern w:val="0"/>
          <w:sz w:val="24"/>
          <w:szCs w:val="24"/>
        </w:rPr>
        <w:t>2019-2021</w:t>
      </w:r>
      <w:r>
        <w:rPr>
          <w:rFonts w:hint="eastAsia" w:ascii="宋体" w:hAnsi="宋体" w:cs="仿宋_GB2312"/>
          <w:color w:val="000000"/>
          <w:kern w:val="0"/>
          <w:sz w:val="24"/>
          <w:szCs w:val="24"/>
        </w:rPr>
        <w:t>年聘期教学科研岗位绩效定档（4档及以下）工作方案。</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一、级档比例</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根据学校规定</w:t>
      </w:r>
      <w:r>
        <w:rPr>
          <w:rFonts w:hint="eastAsia" w:ascii="宋体" w:hAnsi="宋体" w:cs="仿宋_GB2312"/>
          <w:color w:val="000000"/>
          <w:kern w:val="0"/>
          <w:sz w:val="24"/>
          <w:szCs w:val="24"/>
        </w:rPr>
        <w:t>，</w:t>
      </w:r>
      <w:r>
        <w:rPr>
          <w:rFonts w:ascii="宋体" w:hAnsi="宋体" w:cs="仿宋_GB2312"/>
          <w:color w:val="000000"/>
          <w:kern w:val="0"/>
          <w:sz w:val="24"/>
          <w:szCs w:val="24"/>
        </w:rPr>
        <w:t>岗位绩效定档的级档设置</w:t>
      </w:r>
      <w:r>
        <w:rPr>
          <w:rFonts w:hint="eastAsia" w:ascii="宋体" w:hAnsi="宋体" w:cs="仿宋_GB2312"/>
          <w:color w:val="000000"/>
          <w:kern w:val="0"/>
          <w:sz w:val="24"/>
          <w:szCs w:val="24"/>
        </w:rPr>
        <w:t>及比例如下表所示：</w:t>
      </w:r>
    </w:p>
    <w:tbl>
      <w:tblPr>
        <w:tblStyle w:val="7"/>
        <w:tblW w:w="76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1843"/>
        <w:gridCol w:w="2006"/>
        <w:gridCol w:w="1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2" w:hRule="atLeast"/>
          <w:jc w:val="center"/>
        </w:trPr>
        <w:tc>
          <w:tcPr>
            <w:tcW w:w="7681" w:type="dxa"/>
            <w:gridSpan w:val="4"/>
            <w:tcBorders>
              <w:top w:val="nil"/>
              <w:left w:val="nil"/>
              <w:right w:val="nil"/>
            </w:tcBorders>
            <w:vAlign w:val="center"/>
          </w:tcPr>
          <w:p>
            <w:pPr>
              <w:jc w:val="center"/>
              <w:rPr>
                <w:sz w:val="24"/>
                <w:szCs w:val="24"/>
              </w:rPr>
            </w:pPr>
            <w:r>
              <w:rPr>
                <w:sz w:val="24"/>
                <w:szCs w:val="24"/>
              </w:rPr>
              <w:t>表</w:t>
            </w:r>
            <w:r>
              <w:rPr>
                <w:rFonts w:hint="eastAsia"/>
                <w:sz w:val="24"/>
                <w:szCs w:val="24"/>
              </w:rPr>
              <w:t>1</w:t>
            </w:r>
            <w:r>
              <w:rPr>
                <w:sz w:val="24"/>
                <w:szCs w:val="24"/>
              </w:rPr>
              <w:t xml:space="preserve"> 教学科研岗位级档设置及比例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838" w:type="dxa"/>
            <w:vAlign w:val="center"/>
          </w:tcPr>
          <w:p>
            <w:pPr>
              <w:jc w:val="center"/>
              <w:rPr>
                <w:sz w:val="24"/>
                <w:szCs w:val="24"/>
              </w:rPr>
            </w:pPr>
            <w:r>
              <w:rPr>
                <w:rFonts w:hint="eastAsia"/>
                <w:sz w:val="24"/>
                <w:szCs w:val="24"/>
              </w:rPr>
              <w:t>岗位</w:t>
            </w:r>
            <w:r>
              <w:rPr>
                <w:sz w:val="24"/>
                <w:szCs w:val="24"/>
              </w:rPr>
              <w:t>层级</w:t>
            </w:r>
          </w:p>
        </w:tc>
        <w:tc>
          <w:tcPr>
            <w:tcW w:w="1843" w:type="dxa"/>
            <w:vAlign w:val="center"/>
          </w:tcPr>
          <w:p>
            <w:pPr>
              <w:jc w:val="center"/>
              <w:rPr>
                <w:sz w:val="24"/>
                <w:szCs w:val="24"/>
              </w:rPr>
            </w:pPr>
            <w:r>
              <w:rPr>
                <w:sz w:val="24"/>
                <w:szCs w:val="24"/>
              </w:rPr>
              <w:t>级档</w:t>
            </w:r>
          </w:p>
        </w:tc>
        <w:tc>
          <w:tcPr>
            <w:tcW w:w="2006" w:type="dxa"/>
            <w:tcBorders>
              <w:right w:val="single" w:color="auto" w:sz="4" w:space="0"/>
            </w:tcBorders>
            <w:vAlign w:val="center"/>
          </w:tcPr>
          <w:p>
            <w:pPr>
              <w:jc w:val="center"/>
              <w:rPr>
                <w:sz w:val="24"/>
                <w:szCs w:val="24"/>
              </w:rPr>
            </w:pPr>
            <w:r>
              <w:rPr>
                <w:sz w:val="24"/>
                <w:szCs w:val="24"/>
              </w:rPr>
              <w:t>比例</w:t>
            </w:r>
          </w:p>
        </w:tc>
        <w:tc>
          <w:tcPr>
            <w:tcW w:w="1994" w:type="dxa"/>
            <w:tcBorders>
              <w:left w:val="single" w:color="auto" w:sz="4" w:space="0"/>
            </w:tcBorders>
            <w:vAlign w:val="center"/>
          </w:tcPr>
          <w:p>
            <w:pPr>
              <w:jc w:val="center"/>
              <w:rPr>
                <w:sz w:val="24"/>
                <w:szCs w:val="24"/>
              </w:rPr>
            </w:pPr>
            <w:r>
              <w:rPr>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838" w:type="dxa"/>
            <w:vMerge w:val="restart"/>
            <w:vAlign w:val="center"/>
          </w:tcPr>
          <w:p>
            <w:pPr>
              <w:jc w:val="center"/>
              <w:rPr>
                <w:sz w:val="24"/>
                <w:szCs w:val="24"/>
              </w:rPr>
            </w:pPr>
            <w:r>
              <w:rPr>
                <w:rFonts w:hint="eastAsia"/>
                <w:sz w:val="24"/>
                <w:szCs w:val="24"/>
              </w:rPr>
              <w:t>正高</w:t>
            </w:r>
          </w:p>
        </w:tc>
        <w:tc>
          <w:tcPr>
            <w:tcW w:w="1843" w:type="dxa"/>
            <w:vAlign w:val="center"/>
          </w:tcPr>
          <w:p>
            <w:pPr>
              <w:jc w:val="center"/>
              <w:rPr>
                <w:sz w:val="24"/>
                <w:szCs w:val="24"/>
              </w:rPr>
            </w:pPr>
            <w:r>
              <w:rPr>
                <w:rFonts w:hint="eastAsia"/>
                <w:sz w:val="24"/>
                <w:szCs w:val="24"/>
              </w:rPr>
              <w:t>1</w:t>
            </w:r>
          </w:p>
        </w:tc>
        <w:tc>
          <w:tcPr>
            <w:tcW w:w="2006" w:type="dxa"/>
            <w:vMerge w:val="restart"/>
            <w:tcBorders>
              <w:right w:val="single" w:color="auto" w:sz="4" w:space="0"/>
            </w:tcBorders>
            <w:vAlign w:val="center"/>
          </w:tcPr>
          <w:p>
            <w:pPr>
              <w:jc w:val="center"/>
              <w:rPr>
                <w:sz w:val="24"/>
                <w:szCs w:val="24"/>
              </w:rPr>
            </w:pPr>
            <w:r>
              <w:rPr>
                <w:sz w:val="24"/>
                <w:szCs w:val="24"/>
              </w:rPr>
              <w:t>1</w:t>
            </w:r>
            <w:r>
              <w:rPr>
                <w:rFonts w:hint="eastAsia"/>
                <w:sz w:val="24"/>
                <w:szCs w:val="24"/>
              </w:rPr>
              <w:t>:2:3</w:t>
            </w:r>
          </w:p>
        </w:tc>
        <w:tc>
          <w:tcPr>
            <w:tcW w:w="1994" w:type="dxa"/>
            <w:vMerge w:val="restart"/>
            <w:tcBorders>
              <w:left w:val="single" w:color="auto" w:sz="4" w:space="0"/>
            </w:tcBorders>
            <w:vAlign w:val="center"/>
          </w:tcPr>
          <w:p>
            <w:pPr>
              <w:jc w:val="center"/>
              <w:rPr>
                <w:sz w:val="24"/>
                <w:szCs w:val="24"/>
              </w:rPr>
            </w:pPr>
            <w:r>
              <w:rPr>
                <w:sz w:val="24"/>
                <w:szCs w:val="24"/>
              </w:rPr>
              <w:t>学校负责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2</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5"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3</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4</w:t>
            </w:r>
          </w:p>
        </w:tc>
        <w:tc>
          <w:tcPr>
            <w:tcW w:w="2006" w:type="dxa"/>
            <w:vMerge w:val="restart"/>
            <w:tcBorders>
              <w:right w:val="single" w:color="auto" w:sz="4" w:space="0"/>
            </w:tcBorders>
            <w:vAlign w:val="center"/>
          </w:tcPr>
          <w:p>
            <w:pPr>
              <w:jc w:val="center"/>
              <w:rPr>
                <w:sz w:val="24"/>
                <w:szCs w:val="24"/>
              </w:rPr>
            </w:pPr>
            <w:r>
              <w:rPr>
                <w:rFonts w:hint="eastAsia"/>
                <w:sz w:val="24"/>
                <w:szCs w:val="24"/>
              </w:rPr>
              <w:t>6:4</w:t>
            </w:r>
          </w:p>
        </w:tc>
        <w:tc>
          <w:tcPr>
            <w:tcW w:w="1994" w:type="dxa"/>
            <w:vMerge w:val="restart"/>
            <w:tcBorders>
              <w:left w:val="single" w:color="auto" w:sz="4" w:space="0"/>
            </w:tcBorders>
            <w:vAlign w:val="center"/>
          </w:tcPr>
          <w:p>
            <w:pPr>
              <w:jc w:val="center"/>
              <w:rPr>
                <w:sz w:val="24"/>
                <w:szCs w:val="24"/>
              </w:rPr>
            </w:pPr>
            <w:r>
              <w:rPr>
                <w:sz w:val="24"/>
                <w:szCs w:val="24"/>
              </w:rPr>
              <w:t>学院负责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5</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1838" w:type="dxa"/>
            <w:vMerge w:val="restart"/>
            <w:vAlign w:val="center"/>
          </w:tcPr>
          <w:p>
            <w:pPr>
              <w:jc w:val="center"/>
              <w:rPr>
                <w:sz w:val="24"/>
                <w:szCs w:val="24"/>
              </w:rPr>
            </w:pPr>
            <w:r>
              <w:rPr>
                <w:rFonts w:hint="eastAsia"/>
                <w:sz w:val="24"/>
                <w:szCs w:val="24"/>
              </w:rPr>
              <w:t>副高</w:t>
            </w:r>
          </w:p>
        </w:tc>
        <w:tc>
          <w:tcPr>
            <w:tcW w:w="1843" w:type="dxa"/>
            <w:vAlign w:val="center"/>
          </w:tcPr>
          <w:p>
            <w:pPr>
              <w:jc w:val="center"/>
              <w:rPr>
                <w:sz w:val="24"/>
                <w:szCs w:val="24"/>
              </w:rPr>
            </w:pPr>
            <w:r>
              <w:rPr>
                <w:rFonts w:hint="eastAsia"/>
                <w:sz w:val="24"/>
                <w:szCs w:val="24"/>
              </w:rPr>
              <w:t>6</w:t>
            </w:r>
          </w:p>
        </w:tc>
        <w:tc>
          <w:tcPr>
            <w:tcW w:w="2006" w:type="dxa"/>
            <w:vMerge w:val="restart"/>
            <w:tcBorders>
              <w:right w:val="single" w:color="auto" w:sz="4" w:space="0"/>
            </w:tcBorders>
            <w:vAlign w:val="center"/>
          </w:tcPr>
          <w:p>
            <w:pPr>
              <w:jc w:val="center"/>
              <w:rPr>
                <w:sz w:val="24"/>
                <w:szCs w:val="24"/>
              </w:rPr>
            </w:pPr>
            <w:r>
              <w:rPr>
                <w:rFonts w:hint="eastAsia"/>
                <w:sz w:val="24"/>
                <w:szCs w:val="24"/>
              </w:rPr>
              <w:t>3:4:3</w:t>
            </w: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7</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8</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1838" w:type="dxa"/>
            <w:vMerge w:val="restart"/>
            <w:vAlign w:val="center"/>
          </w:tcPr>
          <w:p>
            <w:pPr>
              <w:jc w:val="center"/>
              <w:rPr>
                <w:sz w:val="24"/>
                <w:szCs w:val="24"/>
              </w:rPr>
            </w:pPr>
            <w:r>
              <w:rPr>
                <w:rFonts w:hint="eastAsia"/>
                <w:sz w:val="24"/>
                <w:szCs w:val="24"/>
              </w:rPr>
              <w:t>中级</w:t>
            </w:r>
          </w:p>
        </w:tc>
        <w:tc>
          <w:tcPr>
            <w:tcW w:w="1843" w:type="dxa"/>
            <w:vAlign w:val="center"/>
          </w:tcPr>
          <w:p>
            <w:pPr>
              <w:jc w:val="center"/>
              <w:rPr>
                <w:sz w:val="24"/>
                <w:szCs w:val="24"/>
              </w:rPr>
            </w:pPr>
            <w:r>
              <w:rPr>
                <w:rFonts w:hint="eastAsia"/>
                <w:sz w:val="24"/>
                <w:szCs w:val="24"/>
              </w:rPr>
              <w:t>9</w:t>
            </w:r>
          </w:p>
        </w:tc>
        <w:tc>
          <w:tcPr>
            <w:tcW w:w="2006" w:type="dxa"/>
            <w:vMerge w:val="restart"/>
            <w:tcBorders>
              <w:right w:val="single" w:color="auto" w:sz="4" w:space="0"/>
            </w:tcBorders>
            <w:vAlign w:val="center"/>
          </w:tcPr>
          <w:p>
            <w:pPr>
              <w:jc w:val="center"/>
              <w:rPr>
                <w:sz w:val="24"/>
                <w:szCs w:val="24"/>
              </w:rPr>
            </w:pPr>
            <w:r>
              <w:rPr>
                <w:rFonts w:hint="eastAsia"/>
                <w:sz w:val="24"/>
                <w:szCs w:val="24"/>
              </w:rPr>
              <w:t>3:4:3</w:t>
            </w: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1</w:t>
            </w:r>
            <w:r>
              <w:rPr>
                <w:sz w:val="24"/>
                <w:szCs w:val="24"/>
              </w:rPr>
              <w:t>0</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1</w:t>
            </w:r>
            <w:r>
              <w:rPr>
                <w:sz w:val="24"/>
                <w:szCs w:val="24"/>
              </w:rPr>
              <w:t>1</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1838" w:type="dxa"/>
            <w:vMerge w:val="restart"/>
            <w:vAlign w:val="center"/>
          </w:tcPr>
          <w:p>
            <w:pPr>
              <w:jc w:val="center"/>
              <w:rPr>
                <w:sz w:val="24"/>
                <w:szCs w:val="24"/>
              </w:rPr>
            </w:pPr>
            <w:r>
              <w:rPr>
                <w:rFonts w:hint="eastAsia"/>
                <w:sz w:val="24"/>
                <w:szCs w:val="24"/>
              </w:rPr>
              <w:t>初级</w:t>
            </w:r>
          </w:p>
        </w:tc>
        <w:tc>
          <w:tcPr>
            <w:tcW w:w="1843" w:type="dxa"/>
            <w:vAlign w:val="center"/>
          </w:tcPr>
          <w:p>
            <w:pPr>
              <w:jc w:val="center"/>
              <w:rPr>
                <w:sz w:val="24"/>
                <w:szCs w:val="24"/>
              </w:rPr>
            </w:pPr>
            <w:r>
              <w:rPr>
                <w:rFonts w:hint="eastAsia"/>
                <w:sz w:val="24"/>
                <w:szCs w:val="24"/>
              </w:rPr>
              <w:t>1</w:t>
            </w:r>
            <w:r>
              <w:rPr>
                <w:sz w:val="24"/>
                <w:szCs w:val="24"/>
              </w:rPr>
              <w:t>2</w:t>
            </w:r>
          </w:p>
        </w:tc>
        <w:tc>
          <w:tcPr>
            <w:tcW w:w="2006" w:type="dxa"/>
            <w:vMerge w:val="restart"/>
            <w:tcBorders>
              <w:right w:val="single" w:color="auto" w:sz="4" w:space="0"/>
            </w:tcBorders>
            <w:vAlign w:val="center"/>
          </w:tcPr>
          <w:p>
            <w:pPr>
              <w:jc w:val="center"/>
              <w:rPr>
                <w:sz w:val="24"/>
                <w:szCs w:val="24"/>
              </w:rPr>
            </w:pPr>
            <w:r>
              <w:rPr>
                <w:rFonts w:hint="eastAsia"/>
                <w:sz w:val="24"/>
                <w:szCs w:val="24"/>
              </w:rPr>
              <w:t>6:4</w:t>
            </w:r>
          </w:p>
        </w:tc>
        <w:tc>
          <w:tcPr>
            <w:tcW w:w="1994" w:type="dxa"/>
            <w:vMerge w:val="continue"/>
            <w:tcBorders>
              <w:left w:val="single" w:color="auto" w:sz="4" w:space="0"/>
            </w:tcBorders>
            <w:vAlign w:val="center"/>
          </w:tcPr>
          <w:p>
            <w:pPr>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838" w:type="dxa"/>
            <w:vMerge w:val="continue"/>
            <w:vAlign w:val="center"/>
          </w:tcPr>
          <w:p>
            <w:pPr>
              <w:jc w:val="center"/>
              <w:rPr>
                <w:sz w:val="24"/>
                <w:szCs w:val="24"/>
              </w:rPr>
            </w:pPr>
          </w:p>
        </w:tc>
        <w:tc>
          <w:tcPr>
            <w:tcW w:w="1843" w:type="dxa"/>
            <w:vAlign w:val="center"/>
          </w:tcPr>
          <w:p>
            <w:pPr>
              <w:jc w:val="center"/>
              <w:rPr>
                <w:sz w:val="24"/>
                <w:szCs w:val="24"/>
              </w:rPr>
            </w:pPr>
            <w:r>
              <w:rPr>
                <w:rFonts w:hint="eastAsia"/>
                <w:sz w:val="24"/>
                <w:szCs w:val="24"/>
              </w:rPr>
              <w:t>1</w:t>
            </w:r>
            <w:r>
              <w:rPr>
                <w:sz w:val="24"/>
                <w:szCs w:val="24"/>
              </w:rPr>
              <w:t>3</w:t>
            </w:r>
          </w:p>
        </w:tc>
        <w:tc>
          <w:tcPr>
            <w:tcW w:w="2006" w:type="dxa"/>
            <w:vMerge w:val="continue"/>
            <w:tcBorders>
              <w:right w:val="single" w:color="auto" w:sz="4" w:space="0"/>
            </w:tcBorders>
            <w:vAlign w:val="center"/>
          </w:tcPr>
          <w:p>
            <w:pPr>
              <w:jc w:val="center"/>
              <w:rPr>
                <w:sz w:val="24"/>
                <w:szCs w:val="24"/>
              </w:rPr>
            </w:pPr>
          </w:p>
        </w:tc>
        <w:tc>
          <w:tcPr>
            <w:tcW w:w="1994" w:type="dxa"/>
            <w:vMerge w:val="continue"/>
            <w:tcBorders>
              <w:left w:val="single" w:color="auto" w:sz="4" w:space="0"/>
            </w:tcBorders>
            <w:vAlign w:val="center"/>
          </w:tcPr>
          <w:p>
            <w:pPr>
              <w:jc w:val="center"/>
              <w:rPr>
                <w:sz w:val="24"/>
                <w:szCs w:val="24"/>
              </w:rPr>
            </w:pPr>
          </w:p>
        </w:tc>
      </w:tr>
    </w:tbl>
    <w:p>
      <w:pPr>
        <w:autoSpaceDE w:val="0"/>
        <w:autoSpaceDN w:val="0"/>
        <w:adjustRightInd w:val="0"/>
        <w:spacing w:before="240"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二、定档办法</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岗位绩效定档采用认定评审</w:t>
      </w:r>
      <w:r>
        <w:rPr>
          <w:rFonts w:hint="eastAsia" w:ascii="宋体" w:hAnsi="宋体" w:cs="仿宋_GB2312"/>
          <w:color w:val="000000"/>
          <w:kern w:val="0"/>
          <w:sz w:val="24"/>
          <w:szCs w:val="24"/>
        </w:rPr>
        <w:t>、</w:t>
      </w:r>
      <w:r>
        <w:rPr>
          <w:rFonts w:ascii="宋体" w:hAnsi="宋体" w:cs="仿宋_GB2312"/>
          <w:color w:val="000000"/>
          <w:kern w:val="0"/>
          <w:sz w:val="24"/>
          <w:szCs w:val="24"/>
        </w:rPr>
        <w:t>积分排序两种办法进行</w:t>
      </w:r>
      <w:r>
        <w:rPr>
          <w:rFonts w:hint="eastAsia" w:ascii="宋体" w:hAnsi="宋体" w:cs="仿宋_GB2312"/>
          <w:color w:val="000000"/>
          <w:kern w:val="0"/>
          <w:sz w:val="24"/>
          <w:szCs w:val="24"/>
        </w:rPr>
        <w:t>。学院按教学科研型、科研为主型、教学为主型三种岗位类型分别制定各层级教学、科研基本工作量。教职工根据前三年（</w:t>
      </w:r>
      <w:r>
        <w:rPr>
          <w:rFonts w:ascii="宋体" w:hAnsi="宋体" w:cs="仿宋_GB2312"/>
          <w:color w:val="000000"/>
          <w:kern w:val="0"/>
          <w:sz w:val="24"/>
          <w:szCs w:val="24"/>
        </w:rPr>
        <w:t>2016</w:t>
      </w:r>
      <w:r>
        <w:rPr>
          <w:rFonts w:hint="eastAsia" w:ascii="宋体" w:hAnsi="宋体" w:cs="仿宋_GB2312"/>
          <w:color w:val="000000"/>
          <w:kern w:val="0"/>
          <w:sz w:val="24"/>
          <w:szCs w:val="24"/>
        </w:rPr>
        <w:t>年1月1日至</w:t>
      </w:r>
      <w:r>
        <w:rPr>
          <w:rFonts w:ascii="宋体" w:hAnsi="宋体" w:cs="仿宋_GB2312"/>
          <w:color w:val="000000"/>
          <w:kern w:val="0"/>
          <w:sz w:val="24"/>
          <w:szCs w:val="24"/>
        </w:rPr>
        <w:t>2018</w:t>
      </w:r>
      <w:r>
        <w:rPr>
          <w:rFonts w:hint="eastAsia" w:ascii="宋体" w:hAnsi="宋体" w:cs="仿宋_GB2312"/>
          <w:color w:val="000000"/>
          <w:kern w:val="0"/>
          <w:sz w:val="24"/>
          <w:szCs w:val="24"/>
        </w:rPr>
        <w:t>年1</w:t>
      </w:r>
      <w:r>
        <w:rPr>
          <w:rFonts w:ascii="宋体" w:hAnsi="宋体" w:cs="仿宋_GB2312"/>
          <w:color w:val="000000"/>
          <w:kern w:val="0"/>
          <w:sz w:val="24"/>
          <w:szCs w:val="24"/>
        </w:rPr>
        <w:t>2月</w:t>
      </w:r>
      <w:r>
        <w:rPr>
          <w:rFonts w:hint="eastAsia" w:ascii="宋体" w:hAnsi="宋体" w:cs="仿宋_GB2312"/>
          <w:color w:val="000000"/>
          <w:kern w:val="0"/>
          <w:sz w:val="24"/>
          <w:szCs w:val="24"/>
        </w:rPr>
        <w:t>3</w:t>
      </w:r>
      <w:r>
        <w:rPr>
          <w:rFonts w:ascii="宋体" w:hAnsi="宋体" w:cs="仿宋_GB2312"/>
          <w:color w:val="000000"/>
          <w:kern w:val="0"/>
          <w:sz w:val="24"/>
          <w:szCs w:val="24"/>
        </w:rPr>
        <w:t>1日</w:t>
      </w:r>
      <w:r>
        <w:rPr>
          <w:rFonts w:hint="eastAsia" w:ascii="宋体" w:hAnsi="宋体" w:cs="仿宋_GB2312"/>
          <w:color w:val="000000"/>
          <w:kern w:val="0"/>
          <w:sz w:val="24"/>
          <w:szCs w:val="24"/>
        </w:rPr>
        <w:t>，下同）基本工作量完成情况及所取得的教学、科研业绩，自主确定岗位类型、定档办法、申请级档。</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（一）</w:t>
      </w:r>
      <w:r>
        <w:rPr>
          <w:rFonts w:ascii="宋体" w:hAnsi="宋体" w:cs="仿宋_GB2312"/>
          <w:b/>
          <w:color w:val="000000"/>
          <w:kern w:val="0"/>
          <w:sz w:val="24"/>
          <w:szCs w:val="24"/>
        </w:rPr>
        <w:t>认定评审</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前三年完成基本工作量，并取得《南通大学</w:t>
      </w:r>
      <w:r>
        <w:rPr>
          <w:rFonts w:ascii="宋体" w:hAnsi="宋体" w:cs="仿宋_GB2312"/>
          <w:color w:val="000000"/>
          <w:kern w:val="0"/>
          <w:sz w:val="24"/>
          <w:szCs w:val="24"/>
        </w:rPr>
        <w:t>2019-2021年聘期岗位绩效定档工作方案》</w:t>
      </w:r>
      <w:r>
        <w:rPr>
          <w:rFonts w:hint="eastAsia" w:ascii="宋体" w:hAnsi="宋体" w:cs="仿宋_GB2312"/>
          <w:color w:val="000000"/>
          <w:kern w:val="0"/>
          <w:sz w:val="24"/>
          <w:szCs w:val="24"/>
        </w:rPr>
        <w:t>（</w:t>
      </w:r>
      <w:r>
        <w:rPr>
          <w:rFonts w:ascii="宋体" w:hAnsi="宋体" w:cs="仿宋_GB2312"/>
          <w:color w:val="000000"/>
          <w:kern w:val="0"/>
          <w:sz w:val="24"/>
          <w:szCs w:val="24"/>
        </w:rPr>
        <w:t>通大人〔2019〕20号</w:t>
      </w:r>
      <w:r>
        <w:rPr>
          <w:rFonts w:hint="eastAsia" w:ascii="宋体" w:hAnsi="宋体" w:cs="仿宋_GB2312"/>
          <w:color w:val="000000"/>
          <w:kern w:val="0"/>
          <w:sz w:val="24"/>
          <w:szCs w:val="24"/>
        </w:rPr>
        <w:t>）规定的教学科研岗位3档申报评审条件列表中的1项业绩的教师，经个人申报、学院岗位聘用工作小组评审认定，可确定为相应层级的（最）高档。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各岗位层级的</w:t>
      </w:r>
      <w:r>
        <w:rPr>
          <w:rFonts w:hint="eastAsia" w:ascii="宋体" w:hAnsi="宋体" w:cs="仿宋_GB2312"/>
          <w:color w:val="000000"/>
          <w:kern w:val="0"/>
          <w:sz w:val="24"/>
          <w:szCs w:val="24"/>
        </w:rPr>
        <w:t>（最）高档指标优先用于认定评审。</w:t>
      </w:r>
    </w:p>
    <w:p>
      <w:pPr>
        <w:autoSpaceDE w:val="0"/>
        <w:autoSpaceDN w:val="0"/>
        <w:adjustRightInd w:val="0"/>
        <w:spacing w:line="400" w:lineRule="exact"/>
        <w:ind w:firstLine="482" w:firstLineChars="200"/>
        <w:rPr>
          <w:rFonts w:ascii="宋体" w:hAnsi="宋体" w:cs="仿宋_GB2312"/>
          <w:color w:val="000000"/>
          <w:kern w:val="0"/>
          <w:sz w:val="24"/>
          <w:szCs w:val="24"/>
        </w:rPr>
      </w:pPr>
      <w:r>
        <w:rPr>
          <w:rFonts w:hint="eastAsia" w:ascii="宋体" w:hAnsi="宋体" w:cs="仿宋_GB2312"/>
          <w:b/>
          <w:color w:val="000000"/>
          <w:kern w:val="0"/>
          <w:sz w:val="24"/>
          <w:szCs w:val="24"/>
        </w:rPr>
        <w:t>（二）积分排序</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前三年完成基本工作量，但教学、科研业绩达不到认定评审标准的，采用积分排序办法确定岗位级档。根据申报人员前三年取得的教学、科研业绩，进行积分排序。</w:t>
      </w:r>
      <w:r>
        <w:rPr>
          <w:rFonts w:ascii="宋体" w:hAnsi="宋体" w:cs="仿宋_GB2312"/>
          <w:color w:val="000000"/>
          <w:kern w:val="0"/>
          <w:sz w:val="24"/>
          <w:szCs w:val="24"/>
        </w:rPr>
        <w:t>申报教学为主型相应级档</w:t>
      </w:r>
      <w:r>
        <w:rPr>
          <w:rFonts w:hint="eastAsia" w:ascii="宋体" w:hAnsi="宋体" w:cs="仿宋_GB2312"/>
          <w:color w:val="000000"/>
          <w:kern w:val="0"/>
          <w:sz w:val="24"/>
          <w:szCs w:val="24"/>
        </w:rPr>
        <w:t>，主要考察教学</w:t>
      </w:r>
      <w:r>
        <w:rPr>
          <w:rFonts w:ascii="宋体" w:hAnsi="宋体" w:cs="仿宋_GB2312"/>
          <w:color w:val="000000"/>
          <w:kern w:val="0"/>
          <w:sz w:val="24"/>
          <w:szCs w:val="24"/>
        </w:rPr>
        <w:t>业绩</w:t>
      </w:r>
      <w:r>
        <w:rPr>
          <w:rFonts w:hint="eastAsia" w:ascii="宋体" w:hAnsi="宋体" w:cs="仿宋_GB2312"/>
          <w:color w:val="000000"/>
          <w:kern w:val="0"/>
          <w:sz w:val="24"/>
          <w:szCs w:val="24"/>
        </w:rPr>
        <w:t>；</w:t>
      </w:r>
      <w:r>
        <w:rPr>
          <w:rFonts w:ascii="宋体" w:hAnsi="宋体" w:cs="仿宋_GB2312"/>
          <w:color w:val="000000"/>
          <w:kern w:val="0"/>
          <w:sz w:val="24"/>
          <w:szCs w:val="24"/>
        </w:rPr>
        <w:t>申报</w:t>
      </w:r>
      <w:r>
        <w:rPr>
          <w:rFonts w:hint="eastAsia" w:ascii="宋体" w:hAnsi="宋体" w:cs="仿宋_GB2312"/>
          <w:color w:val="000000"/>
          <w:kern w:val="0"/>
          <w:sz w:val="24"/>
          <w:szCs w:val="24"/>
        </w:rPr>
        <w:t>科研</w:t>
      </w:r>
      <w:r>
        <w:rPr>
          <w:rFonts w:ascii="宋体" w:hAnsi="宋体" w:cs="仿宋_GB2312"/>
          <w:color w:val="000000"/>
          <w:kern w:val="0"/>
          <w:sz w:val="24"/>
          <w:szCs w:val="24"/>
        </w:rPr>
        <w:t>为主型相应级档</w:t>
      </w:r>
      <w:r>
        <w:rPr>
          <w:rFonts w:hint="eastAsia" w:ascii="宋体" w:hAnsi="宋体" w:cs="仿宋_GB2312"/>
          <w:color w:val="000000"/>
          <w:kern w:val="0"/>
          <w:sz w:val="24"/>
          <w:szCs w:val="24"/>
        </w:rPr>
        <w:t>，主要考察科研</w:t>
      </w:r>
      <w:r>
        <w:rPr>
          <w:rFonts w:ascii="宋体" w:hAnsi="宋体" w:cs="仿宋_GB2312"/>
          <w:color w:val="000000"/>
          <w:kern w:val="0"/>
          <w:sz w:val="24"/>
          <w:szCs w:val="24"/>
        </w:rPr>
        <w:t>业绩</w:t>
      </w:r>
      <w:r>
        <w:rPr>
          <w:rFonts w:hint="eastAsia" w:ascii="宋体" w:hAnsi="宋体" w:cs="仿宋_GB2312"/>
          <w:color w:val="000000"/>
          <w:kern w:val="0"/>
          <w:sz w:val="24"/>
          <w:szCs w:val="24"/>
        </w:rPr>
        <w:t>；</w:t>
      </w:r>
      <w:r>
        <w:rPr>
          <w:rFonts w:ascii="宋体" w:hAnsi="宋体" w:cs="仿宋_GB2312"/>
          <w:color w:val="000000"/>
          <w:kern w:val="0"/>
          <w:sz w:val="24"/>
          <w:szCs w:val="24"/>
        </w:rPr>
        <w:t>申报教学科研型</w:t>
      </w:r>
      <w:r>
        <w:rPr>
          <w:rFonts w:hint="eastAsia" w:ascii="宋体" w:hAnsi="宋体" w:cs="仿宋_GB2312"/>
          <w:color w:val="000000"/>
          <w:kern w:val="0"/>
          <w:sz w:val="24"/>
          <w:szCs w:val="24"/>
        </w:rPr>
        <w:t>相应</w:t>
      </w:r>
      <w:r>
        <w:rPr>
          <w:rFonts w:ascii="宋体" w:hAnsi="宋体" w:cs="仿宋_GB2312"/>
          <w:color w:val="000000"/>
          <w:kern w:val="0"/>
          <w:sz w:val="24"/>
          <w:szCs w:val="24"/>
        </w:rPr>
        <w:t>级档</w:t>
      </w:r>
      <w:r>
        <w:rPr>
          <w:rFonts w:hint="eastAsia" w:ascii="宋体" w:hAnsi="宋体" w:cs="仿宋_GB2312"/>
          <w:color w:val="000000"/>
          <w:kern w:val="0"/>
          <w:sz w:val="24"/>
          <w:szCs w:val="24"/>
        </w:rPr>
        <w:t>，</w:t>
      </w:r>
      <w:r>
        <w:rPr>
          <w:rFonts w:ascii="宋体" w:hAnsi="宋体" w:cs="仿宋_GB2312"/>
          <w:color w:val="000000"/>
          <w:kern w:val="0"/>
          <w:sz w:val="24"/>
          <w:szCs w:val="24"/>
        </w:rPr>
        <w:t>教学</w:t>
      </w:r>
      <w:r>
        <w:rPr>
          <w:rFonts w:hint="eastAsia" w:ascii="宋体" w:hAnsi="宋体" w:cs="仿宋_GB2312"/>
          <w:color w:val="000000"/>
          <w:kern w:val="0"/>
          <w:sz w:val="24"/>
          <w:szCs w:val="24"/>
        </w:rPr>
        <w:t>、科研</w:t>
      </w:r>
      <w:r>
        <w:rPr>
          <w:rFonts w:ascii="宋体" w:hAnsi="宋体" w:cs="仿宋_GB2312"/>
          <w:color w:val="000000"/>
          <w:kern w:val="0"/>
          <w:sz w:val="24"/>
          <w:szCs w:val="24"/>
        </w:rPr>
        <w:t>业绩均纳入积分</w:t>
      </w:r>
      <w:r>
        <w:rPr>
          <w:rFonts w:hint="eastAsia" w:ascii="宋体" w:hAnsi="宋体" w:cs="仿宋_GB2312"/>
          <w:color w:val="000000"/>
          <w:kern w:val="0"/>
          <w:sz w:val="24"/>
          <w:szCs w:val="24"/>
        </w:rPr>
        <w:t>。根据学校确定的各级档的结构比例，结合排序结果确定申报人员级档。积分的具体规则参见本《意见》相关说明部分。</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三、定档条件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根据学校规定，学院研究制定4档及以下级档的定档条件。</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（一）基本条件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1.</w:t>
      </w:r>
      <w:r>
        <w:rPr>
          <w:rFonts w:hint="eastAsia" w:ascii="宋体" w:hAnsi="宋体" w:cs="仿宋_GB2312"/>
          <w:color w:val="000000"/>
          <w:kern w:val="0"/>
          <w:sz w:val="24"/>
          <w:szCs w:val="24"/>
        </w:rPr>
        <w:t>拥护党的领导，贯彻党的教育方针，遵纪守法，具有良好的品行和职业道德。实行师德师风一票否决制。</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2.</w:t>
      </w:r>
      <w:r>
        <w:rPr>
          <w:rFonts w:hint="eastAsia" w:ascii="宋体" w:hAnsi="宋体" w:cs="仿宋_GB2312"/>
          <w:color w:val="000000"/>
          <w:kern w:val="0"/>
          <w:sz w:val="24"/>
          <w:szCs w:val="24"/>
        </w:rPr>
        <w:t>具有与本岗位相适应的业务能力，能够履行规定的岗位职责。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3.</w:t>
      </w:r>
      <w:r>
        <w:rPr>
          <w:rFonts w:hint="eastAsia" w:ascii="宋体" w:hAnsi="宋体" w:cs="仿宋_GB2312"/>
          <w:color w:val="000000"/>
          <w:kern w:val="0"/>
          <w:sz w:val="24"/>
          <w:szCs w:val="24"/>
        </w:rPr>
        <w:t>完成学校和学院下达的工作任务，年工作量达到基本工作量要求。</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w:t>
      </w:r>
      <w:r>
        <w:rPr>
          <w:rFonts w:hint="eastAsia" w:ascii="宋体" w:hAnsi="宋体" w:cs="仿宋_GB2312"/>
          <w:color w:val="000000"/>
          <w:kern w:val="0"/>
          <w:sz w:val="24"/>
          <w:szCs w:val="24"/>
        </w:rPr>
        <w:t>年度考核均为合格及以上（来校工作不满三年的，自来校工作之日算起）。年度考核有基本合格或不合格的不得定为本层级岗位中档或高档。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5</w:t>
      </w:r>
      <w:r>
        <w:rPr>
          <w:rFonts w:ascii="宋体" w:hAnsi="宋体" w:cs="仿宋_GB2312"/>
          <w:color w:val="000000"/>
          <w:kern w:val="0"/>
          <w:sz w:val="24"/>
          <w:szCs w:val="24"/>
        </w:rPr>
        <w:t>.</w:t>
      </w:r>
      <w:r>
        <w:rPr>
          <w:rFonts w:hint="eastAsia" w:ascii="宋体" w:hAnsi="宋体" w:cs="仿宋_GB2312"/>
          <w:color w:val="000000"/>
          <w:kern w:val="0"/>
          <w:sz w:val="24"/>
          <w:szCs w:val="24"/>
        </w:rPr>
        <w:t>年度教学质量考核均须达到良好及以上，未达到的不得定在各层级岗位中的中档或高档；申报教学为主型的，不少于</w:t>
      </w:r>
      <w:r>
        <w:rPr>
          <w:rFonts w:ascii="宋体" w:hAnsi="宋体" w:cs="仿宋_GB2312"/>
          <w:color w:val="000000"/>
          <w:kern w:val="0"/>
          <w:sz w:val="24"/>
          <w:szCs w:val="24"/>
        </w:rPr>
        <w:t>1</w:t>
      </w:r>
      <w:r>
        <w:rPr>
          <w:rFonts w:hint="eastAsia" w:ascii="宋体" w:hAnsi="宋体" w:cs="仿宋_GB2312"/>
          <w:color w:val="000000"/>
          <w:kern w:val="0"/>
          <w:sz w:val="24"/>
          <w:szCs w:val="24"/>
        </w:rPr>
        <w:t>次教学质量考核为“优秀”。</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（二）基本工作量</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各岗位层级年均基本工作量要求如下表所示</w:t>
      </w:r>
      <w:r>
        <w:rPr>
          <w:rFonts w:hint="eastAsia" w:ascii="宋体" w:hAnsi="宋体" w:cs="仿宋_GB2312"/>
          <w:color w:val="000000"/>
          <w:kern w:val="0"/>
          <w:sz w:val="24"/>
          <w:szCs w:val="24"/>
        </w:rPr>
        <w:t>：</w:t>
      </w:r>
    </w:p>
    <w:tbl>
      <w:tblPr>
        <w:tblStyle w:val="7"/>
        <w:tblW w:w="85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46"/>
        <w:gridCol w:w="1046"/>
        <w:gridCol w:w="1050"/>
        <w:gridCol w:w="1046"/>
        <w:gridCol w:w="1056"/>
        <w:gridCol w:w="1049"/>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7" w:hRule="atLeast"/>
          <w:jc w:val="center"/>
        </w:trPr>
        <w:tc>
          <w:tcPr>
            <w:tcW w:w="8552" w:type="dxa"/>
            <w:gridSpan w:val="7"/>
            <w:tcBorders>
              <w:top w:val="nil"/>
              <w:left w:val="nil"/>
              <w:right w:val="nil"/>
            </w:tcBorders>
            <w:vAlign w:val="center"/>
          </w:tcPr>
          <w:p>
            <w:pPr>
              <w:jc w:val="center"/>
              <w:rPr>
                <w:sz w:val="24"/>
                <w:szCs w:val="24"/>
              </w:rPr>
            </w:pPr>
            <w:r>
              <w:rPr>
                <w:rFonts w:hint="eastAsia"/>
                <w:sz w:val="24"/>
                <w:szCs w:val="24"/>
              </w:rPr>
              <w:t>表2</w:t>
            </w:r>
            <w:r>
              <w:rPr>
                <w:sz w:val="24"/>
                <w:szCs w:val="24"/>
              </w:rPr>
              <w:t xml:space="preserve"> 经济与管理学院</w:t>
            </w:r>
            <w:r>
              <w:rPr>
                <w:rFonts w:hint="eastAsia"/>
                <w:sz w:val="24"/>
                <w:szCs w:val="24"/>
              </w:rPr>
              <w:t>（与江苏沿海沿江研究院合署）</w:t>
            </w:r>
          </w:p>
          <w:p>
            <w:pPr>
              <w:jc w:val="center"/>
              <w:rPr>
                <w:sz w:val="24"/>
                <w:szCs w:val="24"/>
              </w:rPr>
            </w:pPr>
            <w:r>
              <w:rPr>
                <w:sz w:val="24"/>
                <w:szCs w:val="24"/>
              </w:rPr>
              <w:t>教学科研岗位基本工作量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2246" w:type="dxa"/>
            <w:vMerge w:val="restart"/>
            <w:vAlign w:val="center"/>
          </w:tcPr>
          <w:p>
            <w:pPr>
              <w:jc w:val="center"/>
              <w:rPr>
                <w:sz w:val="24"/>
                <w:szCs w:val="24"/>
              </w:rPr>
            </w:pPr>
            <w:r>
              <w:rPr>
                <w:sz w:val="24"/>
                <w:szCs w:val="24"/>
              </w:rPr>
              <w:t>岗位层级</w:t>
            </w:r>
          </w:p>
        </w:tc>
        <w:tc>
          <w:tcPr>
            <w:tcW w:w="2096" w:type="dxa"/>
            <w:gridSpan w:val="2"/>
            <w:vAlign w:val="center"/>
          </w:tcPr>
          <w:p>
            <w:pPr>
              <w:jc w:val="center"/>
              <w:rPr>
                <w:sz w:val="24"/>
                <w:szCs w:val="24"/>
              </w:rPr>
            </w:pPr>
            <w:r>
              <w:rPr>
                <w:rFonts w:hint="eastAsia"/>
                <w:sz w:val="24"/>
                <w:szCs w:val="24"/>
              </w:rPr>
              <w:t>教学科研型</w:t>
            </w:r>
          </w:p>
        </w:tc>
        <w:tc>
          <w:tcPr>
            <w:tcW w:w="2102" w:type="dxa"/>
            <w:gridSpan w:val="2"/>
            <w:vAlign w:val="center"/>
          </w:tcPr>
          <w:p>
            <w:pPr>
              <w:jc w:val="center"/>
              <w:rPr>
                <w:sz w:val="24"/>
                <w:szCs w:val="24"/>
              </w:rPr>
            </w:pPr>
            <w:r>
              <w:rPr>
                <w:sz w:val="24"/>
                <w:szCs w:val="24"/>
              </w:rPr>
              <w:t>教学为主型</w:t>
            </w:r>
          </w:p>
        </w:tc>
        <w:tc>
          <w:tcPr>
            <w:tcW w:w="2108" w:type="dxa"/>
            <w:gridSpan w:val="2"/>
            <w:vAlign w:val="center"/>
          </w:tcPr>
          <w:p>
            <w:pPr>
              <w:jc w:val="center"/>
              <w:rPr>
                <w:sz w:val="24"/>
                <w:szCs w:val="24"/>
              </w:rPr>
            </w:pPr>
            <w:r>
              <w:rPr>
                <w:rFonts w:hint="eastAsia"/>
                <w:sz w:val="24"/>
                <w:szCs w:val="24"/>
              </w:rPr>
              <w:t>科研为主型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1" w:hRule="atLeast"/>
          <w:jc w:val="center"/>
        </w:trPr>
        <w:tc>
          <w:tcPr>
            <w:tcW w:w="2246" w:type="dxa"/>
            <w:vMerge w:val="continue"/>
            <w:vAlign w:val="center"/>
          </w:tcPr>
          <w:p>
            <w:pPr>
              <w:jc w:val="center"/>
              <w:rPr>
                <w:sz w:val="24"/>
                <w:szCs w:val="24"/>
              </w:rPr>
            </w:pPr>
          </w:p>
        </w:tc>
        <w:tc>
          <w:tcPr>
            <w:tcW w:w="1046" w:type="dxa"/>
            <w:vAlign w:val="center"/>
          </w:tcPr>
          <w:p>
            <w:pPr>
              <w:jc w:val="center"/>
              <w:rPr>
                <w:sz w:val="24"/>
                <w:szCs w:val="24"/>
              </w:rPr>
            </w:pPr>
            <w:r>
              <w:rPr>
                <w:sz w:val="24"/>
                <w:szCs w:val="24"/>
              </w:rPr>
              <w:t>教学</w:t>
            </w:r>
          </w:p>
        </w:tc>
        <w:tc>
          <w:tcPr>
            <w:tcW w:w="1050" w:type="dxa"/>
            <w:vAlign w:val="center"/>
          </w:tcPr>
          <w:p>
            <w:pPr>
              <w:jc w:val="center"/>
              <w:rPr>
                <w:sz w:val="24"/>
                <w:szCs w:val="24"/>
              </w:rPr>
            </w:pPr>
            <w:r>
              <w:rPr>
                <w:sz w:val="24"/>
                <w:szCs w:val="24"/>
              </w:rPr>
              <w:t>科研</w:t>
            </w:r>
          </w:p>
        </w:tc>
        <w:tc>
          <w:tcPr>
            <w:tcW w:w="1046" w:type="dxa"/>
            <w:vAlign w:val="center"/>
          </w:tcPr>
          <w:p>
            <w:pPr>
              <w:jc w:val="center"/>
              <w:rPr>
                <w:sz w:val="24"/>
                <w:szCs w:val="24"/>
              </w:rPr>
            </w:pPr>
            <w:r>
              <w:rPr>
                <w:sz w:val="24"/>
                <w:szCs w:val="24"/>
              </w:rPr>
              <w:t>教学</w:t>
            </w:r>
          </w:p>
        </w:tc>
        <w:tc>
          <w:tcPr>
            <w:tcW w:w="1056" w:type="dxa"/>
            <w:vAlign w:val="center"/>
          </w:tcPr>
          <w:p>
            <w:pPr>
              <w:jc w:val="center"/>
              <w:rPr>
                <w:sz w:val="24"/>
                <w:szCs w:val="24"/>
              </w:rPr>
            </w:pPr>
            <w:r>
              <w:rPr>
                <w:sz w:val="24"/>
                <w:szCs w:val="24"/>
              </w:rPr>
              <w:t>科研</w:t>
            </w:r>
          </w:p>
        </w:tc>
        <w:tc>
          <w:tcPr>
            <w:tcW w:w="1049" w:type="dxa"/>
            <w:vAlign w:val="center"/>
          </w:tcPr>
          <w:p>
            <w:pPr>
              <w:jc w:val="center"/>
              <w:rPr>
                <w:sz w:val="24"/>
                <w:szCs w:val="24"/>
              </w:rPr>
            </w:pPr>
            <w:r>
              <w:rPr>
                <w:sz w:val="24"/>
                <w:szCs w:val="24"/>
              </w:rPr>
              <w:t>教学</w:t>
            </w:r>
          </w:p>
        </w:tc>
        <w:tc>
          <w:tcPr>
            <w:tcW w:w="1059" w:type="dxa"/>
            <w:vAlign w:val="center"/>
          </w:tcPr>
          <w:p>
            <w:pPr>
              <w:jc w:val="center"/>
              <w:rPr>
                <w:sz w:val="24"/>
                <w:szCs w:val="24"/>
              </w:rPr>
            </w:pPr>
            <w:r>
              <w:rPr>
                <w:sz w:val="24"/>
                <w:szCs w:val="24"/>
              </w:rPr>
              <w:t>科研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jc w:val="center"/>
        </w:trPr>
        <w:tc>
          <w:tcPr>
            <w:tcW w:w="2246" w:type="dxa"/>
            <w:vAlign w:val="center"/>
          </w:tcPr>
          <w:p>
            <w:pPr>
              <w:jc w:val="center"/>
              <w:rPr>
                <w:sz w:val="24"/>
                <w:szCs w:val="24"/>
              </w:rPr>
            </w:pPr>
            <w:r>
              <w:rPr>
                <w:sz w:val="24"/>
                <w:szCs w:val="24"/>
              </w:rPr>
              <w:t>正高</w:t>
            </w:r>
            <w:r>
              <w:rPr>
                <w:rFonts w:hint="eastAsia"/>
                <w:sz w:val="24"/>
                <w:szCs w:val="24"/>
              </w:rPr>
              <w:t>（4</w:t>
            </w:r>
            <w:r>
              <w:rPr>
                <w:sz w:val="24"/>
                <w:szCs w:val="24"/>
              </w:rPr>
              <w:t>-5档</w:t>
            </w:r>
            <w:r>
              <w:rPr>
                <w:rFonts w:hint="eastAsia"/>
                <w:sz w:val="24"/>
                <w:szCs w:val="24"/>
              </w:rPr>
              <w:t>）</w:t>
            </w:r>
          </w:p>
        </w:tc>
        <w:tc>
          <w:tcPr>
            <w:tcW w:w="1046" w:type="dxa"/>
            <w:vAlign w:val="center"/>
          </w:tcPr>
          <w:p>
            <w:pPr>
              <w:jc w:val="center"/>
              <w:rPr>
                <w:sz w:val="24"/>
                <w:szCs w:val="24"/>
              </w:rPr>
            </w:pPr>
            <w:r>
              <w:rPr>
                <w:sz w:val="24"/>
                <w:szCs w:val="24"/>
              </w:rPr>
              <w:t>320</w:t>
            </w:r>
          </w:p>
        </w:tc>
        <w:tc>
          <w:tcPr>
            <w:tcW w:w="1050" w:type="dxa"/>
            <w:vAlign w:val="center"/>
          </w:tcPr>
          <w:p>
            <w:pPr>
              <w:jc w:val="center"/>
              <w:rPr>
                <w:sz w:val="24"/>
                <w:szCs w:val="24"/>
              </w:rPr>
            </w:pPr>
            <w:r>
              <w:rPr>
                <w:rFonts w:hint="eastAsia"/>
                <w:sz w:val="24"/>
                <w:szCs w:val="24"/>
              </w:rPr>
              <w:t>1</w:t>
            </w:r>
            <w:r>
              <w:rPr>
                <w:sz w:val="24"/>
                <w:szCs w:val="24"/>
              </w:rPr>
              <w:t>000</w:t>
            </w:r>
          </w:p>
        </w:tc>
        <w:tc>
          <w:tcPr>
            <w:tcW w:w="1046" w:type="dxa"/>
            <w:vAlign w:val="center"/>
          </w:tcPr>
          <w:p>
            <w:pPr>
              <w:jc w:val="center"/>
              <w:rPr>
                <w:sz w:val="24"/>
                <w:szCs w:val="24"/>
              </w:rPr>
            </w:pPr>
            <w:r>
              <w:rPr>
                <w:sz w:val="24"/>
                <w:szCs w:val="24"/>
              </w:rPr>
              <w:t>500</w:t>
            </w:r>
          </w:p>
        </w:tc>
        <w:tc>
          <w:tcPr>
            <w:tcW w:w="1056" w:type="dxa"/>
            <w:vAlign w:val="center"/>
          </w:tcPr>
          <w:p>
            <w:pPr>
              <w:jc w:val="center"/>
              <w:rPr>
                <w:sz w:val="24"/>
                <w:szCs w:val="24"/>
              </w:rPr>
            </w:pPr>
            <w:r>
              <w:rPr>
                <w:rFonts w:hint="eastAsia"/>
                <w:sz w:val="24"/>
                <w:szCs w:val="24"/>
              </w:rPr>
              <w:t>/</w:t>
            </w:r>
          </w:p>
        </w:tc>
        <w:tc>
          <w:tcPr>
            <w:tcW w:w="1049" w:type="dxa"/>
            <w:vAlign w:val="center"/>
          </w:tcPr>
          <w:p>
            <w:pPr>
              <w:jc w:val="center"/>
              <w:rPr>
                <w:sz w:val="24"/>
                <w:szCs w:val="24"/>
              </w:rPr>
            </w:pPr>
            <w:r>
              <w:rPr>
                <w:sz w:val="24"/>
                <w:szCs w:val="24"/>
              </w:rPr>
              <w:t>240</w:t>
            </w:r>
          </w:p>
        </w:tc>
        <w:tc>
          <w:tcPr>
            <w:tcW w:w="1059" w:type="dxa"/>
            <w:vAlign w:val="center"/>
          </w:tcPr>
          <w:p>
            <w:pPr>
              <w:jc w:val="center"/>
              <w:rPr>
                <w:sz w:val="24"/>
                <w:szCs w:val="24"/>
              </w:rPr>
            </w:pPr>
            <w:r>
              <w:rPr>
                <w:sz w:val="24"/>
                <w:szCs w:val="24"/>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2246" w:type="dxa"/>
            <w:vAlign w:val="center"/>
          </w:tcPr>
          <w:p>
            <w:pPr>
              <w:jc w:val="center"/>
              <w:rPr>
                <w:sz w:val="24"/>
                <w:szCs w:val="24"/>
              </w:rPr>
            </w:pPr>
            <w:r>
              <w:rPr>
                <w:rFonts w:hint="eastAsia"/>
                <w:sz w:val="24"/>
                <w:szCs w:val="24"/>
              </w:rPr>
              <w:t>副高（6</w:t>
            </w:r>
            <w:r>
              <w:rPr>
                <w:sz w:val="24"/>
                <w:szCs w:val="24"/>
              </w:rPr>
              <w:t>-8档</w:t>
            </w:r>
            <w:r>
              <w:rPr>
                <w:rFonts w:hint="eastAsia"/>
                <w:sz w:val="24"/>
                <w:szCs w:val="24"/>
              </w:rPr>
              <w:t>）</w:t>
            </w:r>
          </w:p>
        </w:tc>
        <w:tc>
          <w:tcPr>
            <w:tcW w:w="1046" w:type="dxa"/>
            <w:vAlign w:val="center"/>
          </w:tcPr>
          <w:p>
            <w:pPr>
              <w:jc w:val="center"/>
              <w:rPr>
                <w:sz w:val="24"/>
                <w:szCs w:val="24"/>
              </w:rPr>
            </w:pPr>
            <w:r>
              <w:rPr>
                <w:rFonts w:hint="eastAsia"/>
                <w:sz w:val="24"/>
                <w:szCs w:val="24"/>
              </w:rPr>
              <w:t>3</w:t>
            </w:r>
            <w:r>
              <w:rPr>
                <w:sz w:val="24"/>
                <w:szCs w:val="24"/>
              </w:rPr>
              <w:t>20</w:t>
            </w:r>
          </w:p>
        </w:tc>
        <w:tc>
          <w:tcPr>
            <w:tcW w:w="1050" w:type="dxa"/>
            <w:vAlign w:val="center"/>
          </w:tcPr>
          <w:p>
            <w:pPr>
              <w:jc w:val="center"/>
              <w:rPr>
                <w:sz w:val="24"/>
                <w:szCs w:val="24"/>
              </w:rPr>
            </w:pPr>
            <w:r>
              <w:rPr>
                <w:sz w:val="24"/>
                <w:szCs w:val="24"/>
              </w:rPr>
              <w:t>800</w:t>
            </w:r>
          </w:p>
        </w:tc>
        <w:tc>
          <w:tcPr>
            <w:tcW w:w="1046" w:type="dxa"/>
            <w:vAlign w:val="center"/>
          </w:tcPr>
          <w:p>
            <w:pPr>
              <w:jc w:val="center"/>
              <w:rPr>
                <w:sz w:val="24"/>
                <w:szCs w:val="24"/>
              </w:rPr>
            </w:pPr>
            <w:r>
              <w:rPr>
                <w:sz w:val="24"/>
                <w:szCs w:val="24"/>
              </w:rPr>
              <w:t>500</w:t>
            </w:r>
          </w:p>
        </w:tc>
        <w:tc>
          <w:tcPr>
            <w:tcW w:w="1056" w:type="dxa"/>
            <w:vAlign w:val="center"/>
          </w:tcPr>
          <w:p>
            <w:pPr>
              <w:jc w:val="center"/>
              <w:rPr>
                <w:sz w:val="24"/>
                <w:szCs w:val="24"/>
              </w:rPr>
            </w:pPr>
            <w:r>
              <w:rPr>
                <w:rFonts w:hint="eastAsia"/>
                <w:sz w:val="24"/>
                <w:szCs w:val="24"/>
              </w:rPr>
              <w:t>/</w:t>
            </w:r>
          </w:p>
        </w:tc>
        <w:tc>
          <w:tcPr>
            <w:tcW w:w="1049" w:type="dxa"/>
            <w:vAlign w:val="center"/>
          </w:tcPr>
          <w:p>
            <w:pPr>
              <w:jc w:val="center"/>
              <w:rPr>
                <w:sz w:val="24"/>
                <w:szCs w:val="24"/>
              </w:rPr>
            </w:pPr>
            <w:r>
              <w:rPr>
                <w:sz w:val="24"/>
                <w:szCs w:val="24"/>
              </w:rPr>
              <w:t>240</w:t>
            </w:r>
          </w:p>
        </w:tc>
        <w:tc>
          <w:tcPr>
            <w:tcW w:w="1059" w:type="dxa"/>
            <w:vAlign w:val="center"/>
          </w:tcPr>
          <w:p>
            <w:pPr>
              <w:jc w:val="center"/>
              <w:rPr>
                <w:sz w:val="24"/>
                <w:szCs w:val="24"/>
              </w:rPr>
            </w:pPr>
            <w:r>
              <w:rPr>
                <w:sz w:val="24"/>
                <w:szCs w:val="2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2246" w:type="dxa"/>
            <w:vAlign w:val="center"/>
          </w:tcPr>
          <w:p>
            <w:pPr>
              <w:jc w:val="center"/>
              <w:rPr>
                <w:sz w:val="24"/>
                <w:szCs w:val="24"/>
              </w:rPr>
            </w:pPr>
            <w:r>
              <w:rPr>
                <w:rFonts w:hint="eastAsia"/>
                <w:sz w:val="24"/>
                <w:szCs w:val="24"/>
              </w:rPr>
              <w:t>中级（9</w:t>
            </w:r>
            <w:r>
              <w:rPr>
                <w:sz w:val="24"/>
                <w:szCs w:val="24"/>
              </w:rPr>
              <w:t>-11档</w:t>
            </w:r>
            <w:r>
              <w:rPr>
                <w:rFonts w:hint="eastAsia"/>
                <w:sz w:val="24"/>
                <w:szCs w:val="24"/>
              </w:rPr>
              <w:t>）</w:t>
            </w:r>
          </w:p>
        </w:tc>
        <w:tc>
          <w:tcPr>
            <w:tcW w:w="1046" w:type="dxa"/>
            <w:vAlign w:val="center"/>
          </w:tcPr>
          <w:p>
            <w:pPr>
              <w:jc w:val="center"/>
              <w:rPr>
                <w:sz w:val="24"/>
                <w:szCs w:val="24"/>
              </w:rPr>
            </w:pPr>
            <w:r>
              <w:rPr>
                <w:rFonts w:hint="eastAsia"/>
                <w:sz w:val="24"/>
                <w:szCs w:val="24"/>
              </w:rPr>
              <w:t>3</w:t>
            </w:r>
            <w:r>
              <w:rPr>
                <w:sz w:val="24"/>
                <w:szCs w:val="24"/>
              </w:rPr>
              <w:t>20</w:t>
            </w:r>
          </w:p>
        </w:tc>
        <w:tc>
          <w:tcPr>
            <w:tcW w:w="1050" w:type="dxa"/>
            <w:vAlign w:val="center"/>
          </w:tcPr>
          <w:p>
            <w:pPr>
              <w:jc w:val="center"/>
              <w:rPr>
                <w:sz w:val="24"/>
                <w:szCs w:val="24"/>
              </w:rPr>
            </w:pPr>
            <w:r>
              <w:rPr>
                <w:sz w:val="24"/>
                <w:szCs w:val="24"/>
              </w:rPr>
              <w:t>400</w:t>
            </w:r>
          </w:p>
        </w:tc>
        <w:tc>
          <w:tcPr>
            <w:tcW w:w="1046" w:type="dxa"/>
            <w:vAlign w:val="center"/>
          </w:tcPr>
          <w:p>
            <w:pPr>
              <w:jc w:val="center"/>
              <w:rPr>
                <w:sz w:val="24"/>
                <w:szCs w:val="24"/>
              </w:rPr>
            </w:pPr>
            <w:r>
              <w:rPr>
                <w:sz w:val="24"/>
                <w:szCs w:val="24"/>
              </w:rPr>
              <w:t>500</w:t>
            </w:r>
          </w:p>
        </w:tc>
        <w:tc>
          <w:tcPr>
            <w:tcW w:w="1056" w:type="dxa"/>
            <w:vAlign w:val="center"/>
          </w:tcPr>
          <w:p>
            <w:pPr>
              <w:jc w:val="center"/>
              <w:rPr>
                <w:sz w:val="24"/>
                <w:szCs w:val="24"/>
              </w:rPr>
            </w:pPr>
            <w:r>
              <w:rPr>
                <w:rFonts w:hint="eastAsia"/>
                <w:sz w:val="24"/>
                <w:szCs w:val="24"/>
              </w:rPr>
              <w:t>/</w:t>
            </w:r>
          </w:p>
        </w:tc>
        <w:tc>
          <w:tcPr>
            <w:tcW w:w="1049" w:type="dxa"/>
            <w:vAlign w:val="center"/>
          </w:tcPr>
          <w:p>
            <w:pPr>
              <w:jc w:val="center"/>
              <w:rPr>
                <w:sz w:val="24"/>
                <w:szCs w:val="24"/>
              </w:rPr>
            </w:pPr>
            <w:r>
              <w:rPr>
                <w:sz w:val="24"/>
                <w:szCs w:val="24"/>
              </w:rPr>
              <w:t>240</w:t>
            </w:r>
          </w:p>
        </w:tc>
        <w:tc>
          <w:tcPr>
            <w:tcW w:w="1059" w:type="dxa"/>
            <w:vAlign w:val="center"/>
          </w:tcPr>
          <w:p>
            <w:pPr>
              <w:jc w:val="center"/>
              <w:rPr>
                <w:sz w:val="24"/>
                <w:szCs w:val="24"/>
              </w:rPr>
            </w:pPr>
            <w:r>
              <w:rPr>
                <w:sz w:val="24"/>
                <w:szCs w:val="24"/>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2246" w:type="dxa"/>
            <w:tcBorders>
              <w:bottom w:val="single" w:color="000000" w:sz="4" w:space="0"/>
            </w:tcBorders>
            <w:vAlign w:val="center"/>
          </w:tcPr>
          <w:p>
            <w:pPr>
              <w:ind w:left="-111" w:leftChars="-53" w:right="-73" w:rightChars="-35"/>
              <w:jc w:val="center"/>
              <w:rPr>
                <w:sz w:val="24"/>
                <w:szCs w:val="24"/>
              </w:rPr>
            </w:pPr>
            <w:r>
              <w:rPr>
                <w:rFonts w:hint="eastAsia"/>
                <w:sz w:val="24"/>
                <w:szCs w:val="24"/>
              </w:rPr>
              <w:t>初级（1</w:t>
            </w:r>
            <w:r>
              <w:rPr>
                <w:sz w:val="24"/>
                <w:szCs w:val="24"/>
              </w:rPr>
              <w:t>2-13档</w:t>
            </w:r>
            <w:r>
              <w:rPr>
                <w:rFonts w:hint="eastAsia"/>
                <w:sz w:val="24"/>
                <w:szCs w:val="24"/>
              </w:rPr>
              <w:t>）</w:t>
            </w:r>
          </w:p>
        </w:tc>
        <w:tc>
          <w:tcPr>
            <w:tcW w:w="1046" w:type="dxa"/>
            <w:tcBorders>
              <w:bottom w:val="single" w:color="000000" w:sz="4" w:space="0"/>
            </w:tcBorders>
            <w:vAlign w:val="center"/>
          </w:tcPr>
          <w:p>
            <w:pPr>
              <w:jc w:val="center"/>
              <w:rPr>
                <w:sz w:val="24"/>
                <w:szCs w:val="24"/>
              </w:rPr>
            </w:pPr>
            <w:r>
              <w:rPr>
                <w:sz w:val="24"/>
                <w:szCs w:val="24"/>
              </w:rPr>
              <w:t>320</w:t>
            </w:r>
          </w:p>
        </w:tc>
        <w:tc>
          <w:tcPr>
            <w:tcW w:w="1050" w:type="dxa"/>
            <w:tcBorders>
              <w:bottom w:val="single" w:color="000000" w:sz="4" w:space="0"/>
            </w:tcBorders>
            <w:vAlign w:val="center"/>
          </w:tcPr>
          <w:p>
            <w:pPr>
              <w:jc w:val="center"/>
              <w:rPr>
                <w:sz w:val="24"/>
                <w:szCs w:val="24"/>
              </w:rPr>
            </w:pPr>
            <w:r>
              <w:rPr>
                <w:sz w:val="24"/>
                <w:szCs w:val="24"/>
              </w:rPr>
              <w:t>200</w:t>
            </w:r>
          </w:p>
        </w:tc>
        <w:tc>
          <w:tcPr>
            <w:tcW w:w="1046" w:type="dxa"/>
            <w:tcBorders>
              <w:bottom w:val="single" w:color="000000" w:sz="4" w:space="0"/>
            </w:tcBorders>
            <w:vAlign w:val="center"/>
          </w:tcPr>
          <w:p>
            <w:pPr>
              <w:jc w:val="center"/>
              <w:rPr>
                <w:sz w:val="24"/>
                <w:szCs w:val="24"/>
              </w:rPr>
            </w:pPr>
            <w:r>
              <w:rPr>
                <w:sz w:val="24"/>
                <w:szCs w:val="24"/>
              </w:rPr>
              <w:t>500</w:t>
            </w:r>
          </w:p>
        </w:tc>
        <w:tc>
          <w:tcPr>
            <w:tcW w:w="1056" w:type="dxa"/>
            <w:tcBorders>
              <w:bottom w:val="single" w:color="000000" w:sz="4" w:space="0"/>
            </w:tcBorders>
            <w:vAlign w:val="center"/>
          </w:tcPr>
          <w:p>
            <w:pPr>
              <w:jc w:val="center"/>
              <w:rPr>
                <w:sz w:val="24"/>
                <w:szCs w:val="24"/>
              </w:rPr>
            </w:pPr>
            <w:r>
              <w:rPr>
                <w:rFonts w:hint="eastAsia"/>
                <w:sz w:val="24"/>
                <w:szCs w:val="24"/>
              </w:rPr>
              <w:t>/</w:t>
            </w:r>
          </w:p>
        </w:tc>
        <w:tc>
          <w:tcPr>
            <w:tcW w:w="1049" w:type="dxa"/>
            <w:tcBorders>
              <w:bottom w:val="single" w:color="000000" w:sz="4" w:space="0"/>
            </w:tcBorders>
            <w:vAlign w:val="center"/>
          </w:tcPr>
          <w:p>
            <w:pPr>
              <w:jc w:val="center"/>
              <w:rPr>
                <w:sz w:val="24"/>
                <w:szCs w:val="24"/>
              </w:rPr>
            </w:pPr>
            <w:r>
              <w:rPr>
                <w:sz w:val="24"/>
                <w:szCs w:val="24"/>
              </w:rPr>
              <w:t>240</w:t>
            </w:r>
          </w:p>
        </w:tc>
        <w:tc>
          <w:tcPr>
            <w:tcW w:w="1059" w:type="dxa"/>
            <w:tcBorders>
              <w:bottom w:val="single" w:color="000000" w:sz="4" w:space="0"/>
            </w:tcBorders>
            <w:vAlign w:val="center"/>
          </w:tcPr>
          <w:p>
            <w:pPr>
              <w:jc w:val="center"/>
              <w:rPr>
                <w:sz w:val="24"/>
                <w:szCs w:val="24"/>
              </w:rPr>
            </w:pPr>
            <w:r>
              <w:rPr>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4" w:hRule="atLeast"/>
          <w:jc w:val="center"/>
        </w:trPr>
        <w:tc>
          <w:tcPr>
            <w:tcW w:w="8552" w:type="dxa"/>
            <w:gridSpan w:val="7"/>
            <w:tcBorders>
              <w:left w:val="nil"/>
              <w:bottom w:val="nil"/>
              <w:right w:val="nil"/>
            </w:tcBorders>
            <w:vAlign w:val="center"/>
          </w:tcPr>
          <w:p>
            <w:pPr>
              <w:spacing w:line="276" w:lineRule="auto"/>
              <w:ind w:right="-202" w:rightChars="-96"/>
              <w:rPr>
                <w:rFonts w:ascii="宋体" w:hAnsi="宋体" w:cs="仿宋_GB2312"/>
                <w:color w:val="000000"/>
                <w:kern w:val="0"/>
                <w:sz w:val="24"/>
                <w:szCs w:val="24"/>
              </w:rPr>
            </w:pPr>
            <w:r>
              <w:rPr>
                <w:sz w:val="24"/>
                <w:szCs w:val="24"/>
              </w:rPr>
              <w:t>注</w:t>
            </w:r>
            <w:r>
              <w:rPr>
                <w:rFonts w:hint="eastAsia"/>
                <w:sz w:val="24"/>
                <w:szCs w:val="24"/>
              </w:rPr>
              <w:t>：</w:t>
            </w:r>
            <w:r>
              <w:rPr>
                <w:rFonts w:hint="eastAsia" w:ascii="宋体" w:hAnsi="宋体" w:cs="仿宋_GB2312"/>
                <w:color w:val="000000"/>
                <w:kern w:val="0"/>
                <w:sz w:val="24"/>
                <w:szCs w:val="24"/>
              </w:rPr>
              <w:t>1</w:t>
            </w:r>
            <w:r>
              <w:rPr>
                <w:rFonts w:ascii="宋体" w:hAnsi="宋体" w:cs="仿宋_GB2312"/>
                <w:color w:val="000000"/>
                <w:kern w:val="0"/>
                <w:sz w:val="24"/>
                <w:szCs w:val="24"/>
              </w:rPr>
              <w:t>.教学基本工作量指在本校及杏林学院承担教学工作应</w:t>
            </w:r>
            <w:r>
              <w:rPr>
                <w:rFonts w:hint="eastAsia" w:ascii="宋体" w:hAnsi="宋体" w:cs="仿宋_GB2312"/>
                <w:color w:val="000000"/>
                <w:kern w:val="0"/>
                <w:sz w:val="24"/>
                <w:szCs w:val="24"/>
              </w:rPr>
              <w:t>达到</w:t>
            </w:r>
            <w:r>
              <w:rPr>
                <w:rFonts w:ascii="宋体" w:hAnsi="宋体" w:cs="仿宋_GB2312"/>
                <w:color w:val="000000"/>
                <w:kern w:val="0"/>
                <w:sz w:val="24"/>
                <w:szCs w:val="24"/>
              </w:rPr>
              <w:t>的基本学时数</w:t>
            </w:r>
            <w:r>
              <w:rPr>
                <w:rFonts w:hint="eastAsia" w:ascii="宋体" w:hAnsi="宋体" w:cs="仿宋_GB2312"/>
                <w:color w:val="000000"/>
                <w:kern w:val="0"/>
                <w:sz w:val="24"/>
                <w:szCs w:val="24"/>
              </w:rPr>
              <w:t>。</w:t>
            </w:r>
          </w:p>
          <w:p>
            <w:pPr>
              <w:spacing w:line="276" w:lineRule="auto"/>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.科研基本工作量指在规定时间内应取得的科研业绩分的基本要求</w:t>
            </w:r>
            <w:r>
              <w:rPr>
                <w:rFonts w:hint="eastAsia" w:ascii="宋体" w:hAnsi="宋体" w:cs="仿宋_GB2312"/>
                <w:color w:val="000000"/>
                <w:kern w:val="0"/>
                <w:sz w:val="24"/>
                <w:szCs w:val="24"/>
              </w:rPr>
              <w:t>。</w:t>
            </w:r>
          </w:p>
          <w:p>
            <w:pPr>
              <w:spacing w:line="276" w:lineRule="auto"/>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3</w:t>
            </w:r>
            <w:r>
              <w:rPr>
                <w:rFonts w:ascii="宋体" w:hAnsi="宋体" w:cs="仿宋_GB2312"/>
                <w:color w:val="000000"/>
                <w:kern w:val="0"/>
                <w:sz w:val="24"/>
                <w:szCs w:val="24"/>
              </w:rPr>
              <w:t>.前三年承担相关工作任务的平均值达到表中所列</w:t>
            </w:r>
            <w:r>
              <w:rPr>
                <w:rFonts w:hint="eastAsia" w:ascii="宋体" w:hAnsi="宋体" w:cs="仿宋_GB2312"/>
                <w:color w:val="000000"/>
                <w:kern w:val="0"/>
                <w:sz w:val="24"/>
                <w:szCs w:val="24"/>
              </w:rPr>
              <w:t>数值</w:t>
            </w:r>
            <w:r>
              <w:rPr>
                <w:rFonts w:ascii="宋体" w:hAnsi="宋体" w:cs="仿宋_GB2312"/>
                <w:color w:val="000000"/>
                <w:kern w:val="0"/>
                <w:sz w:val="24"/>
                <w:szCs w:val="24"/>
              </w:rPr>
              <w:t>要求</w:t>
            </w:r>
            <w:r>
              <w:rPr>
                <w:rFonts w:hint="eastAsia" w:ascii="宋体" w:hAnsi="宋体" w:cs="仿宋_GB2312"/>
                <w:color w:val="000000"/>
                <w:kern w:val="0"/>
                <w:sz w:val="24"/>
                <w:szCs w:val="24"/>
              </w:rPr>
              <w:t>，</w:t>
            </w:r>
            <w:r>
              <w:rPr>
                <w:rFonts w:ascii="宋体" w:hAnsi="宋体" w:cs="仿宋_GB2312"/>
                <w:color w:val="000000"/>
                <w:kern w:val="0"/>
                <w:sz w:val="24"/>
                <w:szCs w:val="24"/>
              </w:rPr>
              <w:t>视为完成基本工作量</w:t>
            </w:r>
            <w:r>
              <w:rPr>
                <w:rFonts w:hint="eastAsia" w:ascii="宋体" w:hAnsi="宋体" w:cs="仿宋_GB2312"/>
                <w:color w:val="000000"/>
                <w:kern w:val="0"/>
                <w:sz w:val="24"/>
                <w:szCs w:val="24"/>
              </w:rPr>
              <w:t>。</w:t>
            </w:r>
          </w:p>
          <w:p>
            <w:pPr>
              <w:spacing w:line="276" w:lineRule="auto"/>
              <w:ind w:firstLine="480" w:firstLineChars="200"/>
              <w:rPr>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.学时数及业绩分的统计口径参见</w:t>
            </w:r>
            <w:r>
              <w:rPr>
                <w:rFonts w:hint="eastAsia" w:ascii="宋体" w:hAnsi="宋体" w:cs="仿宋_GB2312"/>
                <w:color w:val="000000"/>
                <w:kern w:val="0"/>
                <w:sz w:val="24"/>
                <w:szCs w:val="24"/>
              </w:rPr>
              <w:t>本《意见》相关说明部分。</w:t>
            </w:r>
          </w:p>
        </w:tc>
      </w:tr>
    </w:tbl>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四、工作程序</w:t>
      </w:r>
    </w:p>
    <w:p>
      <w:pPr>
        <w:autoSpaceDE w:val="0"/>
        <w:autoSpaceDN w:val="0"/>
        <w:adjustRightInd w:val="0"/>
        <w:spacing w:line="400" w:lineRule="exact"/>
        <w:ind w:firstLine="482" w:firstLineChars="200"/>
        <w:rPr>
          <w:rFonts w:ascii="宋体" w:hAnsi="宋体" w:cs="仿宋_GB2312"/>
          <w:color w:val="000000"/>
          <w:kern w:val="0"/>
          <w:sz w:val="24"/>
          <w:szCs w:val="24"/>
        </w:rPr>
      </w:pPr>
      <w:r>
        <w:rPr>
          <w:rFonts w:hint="eastAsia" w:ascii="宋体" w:hAnsi="宋体" w:cs="仿宋_GB2312"/>
          <w:b/>
          <w:bCs/>
          <w:color w:val="000000"/>
          <w:kern w:val="0"/>
          <w:sz w:val="24"/>
          <w:szCs w:val="24"/>
        </w:rPr>
        <w:t>（一）公布岗位</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根据学校下达的级档比例</w:t>
      </w:r>
      <w:r>
        <w:rPr>
          <w:rFonts w:hint="eastAsia" w:ascii="宋体" w:hAnsi="宋体" w:cs="仿宋_GB2312"/>
          <w:color w:val="000000"/>
          <w:kern w:val="0"/>
          <w:sz w:val="24"/>
          <w:szCs w:val="24"/>
        </w:rPr>
        <w:t>，</w:t>
      </w:r>
      <w:r>
        <w:rPr>
          <w:rFonts w:ascii="宋体" w:hAnsi="宋体" w:cs="仿宋_GB2312"/>
          <w:color w:val="000000"/>
          <w:kern w:val="0"/>
          <w:sz w:val="24"/>
          <w:szCs w:val="24"/>
        </w:rPr>
        <w:t>结合本院参与定档的人员数量</w:t>
      </w:r>
      <w:r>
        <w:rPr>
          <w:rFonts w:hint="eastAsia" w:ascii="宋体" w:hAnsi="宋体" w:cs="仿宋_GB2312"/>
          <w:color w:val="000000"/>
          <w:kern w:val="0"/>
          <w:sz w:val="24"/>
          <w:szCs w:val="24"/>
        </w:rPr>
        <w:t>，确定</w:t>
      </w:r>
      <w:r>
        <w:rPr>
          <w:rFonts w:ascii="宋体" w:hAnsi="宋体" w:cs="仿宋_GB2312"/>
          <w:color w:val="000000"/>
          <w:kern w:val="0"/>
          <w:sz w:val="24"/>
          <w:szCs w:val="24"/>
        </w:rPr>
        <w:t>各级档的岗位数量，向教职工公布。</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（二）积分核准</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岗位聘用工作小组汇总教职工前三年教学工作量及教学</w:t>
      </w:r>
      <w:r>
        <w:rPr>
          <w:rFonts w:hint="eastAsia" w:ascii="宋体" w:hAnsi="宋体" w:cs="仿宋_GB2312"/>
          <w:color w:val="000000"/>
          <w:kern w:val="0"/>
          <w:sz w:val="24"/>
          <w:szCs w:val="24"/>
        </w:rPr>
        <w:t>、</w:t>
      </w:r>
      <w:r>
        <w:rPr>
          <w:rFonts w:ascii="宋体" w:hAnsi="宋体" w:cs="仿宋_GB2312"/>
          <w:color w:val="000000"/>
          <w:kern w:val="0"/>
          <w:sz w:val="24"/>
          <w:szCs w:val="24"/>
        </w:rPr>
        <w:t>科研业绩</w:t>
      </w:r>
      <w:r>
        <w:rPr>
          <w:rFonts w:hint="eastAsia" w:ascii="宋体" w:hAnsi="宋体" w:cs="仿宋_GB2312"/>
          <w:color w:val="000000"/>
          <w:kern w:val="0"/>
          <w:sz w:val="24"/>
          <w:szCs w:val="24"/>
        </w:rPr>
        <w:t>，并按规定测算个人业绩分，</w:t>
      </w:r>
      <w:r>
        <w:rPr>
          <w:rFonts w:ascii="宋体" w:hAnsi="宋体" w:cs="仿宋_GB2312"/>
          <w:color w:val="000000"/>
          <w:kern w:val="0"/>
          <w:sz w:val="24"/>
          <w:szCs w:val="24"/>
        </w:rPr>
        <w:t>将汇总结果及业绩分交由教职工本人核对</w:t>
      </w:r>
      <w:r>
        <w:rPr>
          <w:rFonts w:hint="eastAsia" w:ascii="宋体" w:hAnsi="宋体" w:cs="仿宋_GB2312"/>
          <w:color w:val="000000"/>
          <w:kern w:val="0"/>
          <w:sz w:val="24"/>
          <w:szCs w:val="24"/>
        </w:rPr>
        <w:t>、</w:t>
      </w:r>
      <w:r>
        <w:rPr>
          <w:rFonts w:ascii="宋体" w:hAnsi="宋体" w:cs="仿宋_GB2312"/>
          <w:color w:val="000000"/>
          <w:kern w:val="0"/>
          <w:sz w:val="24"/>
          <w:szCs w:val="24"/>
        </w:rPr>
        <w:t>确认</w:t>
      </w:r>
      <w:r>
        <w:rPr>
          <w:rFonts w:hint="eastAsia" w:ascii="宋体" w:hAnsi="宋体" w:cs="仿宋_GB2312"/>
          <w:color w:val="000000"/>
          <w:kern w:val="0"/>
          <w:sz w:val="24"/>
          <w:szCs w:val="24"/>
        </w:rPr>
        <w:t>。</w:t>
      </w:r>
      <w:r>
        <w:rPr>
          <w:rFonts w:ascii="宋体" w:hAnsi="宋体" w:cs="仿宋_GB2312"/>
          <w:color w:val="000000"/>
          <w:kern w:val="0"/>
          <w:sz w:val="24"/>
          <w:szCs w:val="24"/>
        </w:rPr>
        <w:t>对汇总遗漏的项目</w:t>
      </w:r>
      <w:r>
        <w:rPr>
          <w:rFonts w:hint="eastAsia" w:ascii="宋体" w:hAnsi="宋体" w:cs="仿宋_GB2312"/>
          <w:color w:val="000000"/>
          <w:kern w:val="0"/>
          <w:sz w:val="24"/>
          <w:szCs w:val="24"/>
        </w:rPr>
        <w:t>，</w:t>
      </w:r>
      <w:r>
        <w:rPr>
          <w:rFonts w:ascii="宋体" w:hAnsi="宋体" w:cs="仿宋_GB2312"/>
          <w:color w:val="000000"/>
          <w:kern w:val="0"/>
          <w:sz w:val="24"/>
          <w:szCs w:val="24"/>
        </w:rPr>
        <w:t>由教职工</w:t>
      </w:r>
      <w:r>
        <w:rPr>
          <w:rFonts w:hint="eastAsia" w:ascii="宋体" w:hAnsi="宋体" w:cs="仿宋_GB2312"/>
          <w:color w:val="000000"/>
          <w:kern w:val="0"/>
          <w:sz w:val="24"/>
          <w:szCs w:val="24"/>
        </w:rPr>
        <w:t>提供</w:t>
      </w:r>
      <w:r>
        <w:rPr>
          <w:rFonts w:ascii="宋体" w:hAnsi="宋体" w:cs="仿宋_GB2312"/>
          <w:color w:val="000000"/>
          <w:kern w:val="0"/>
          <w:sz w:val="24"/>
          <w:szCs w:val="24"/>
        </w:rPr>
        <w:t>相关业绩证明材料</w:t>
      </w:r>
      <w:r>
        <w:rPr>
          <w:rFonts w:hint="eastAsia" w:ascii="宋体" w:hAnsi="宋体" w:cs="仿宋_GB2312"/>
          <w:color w:val="000000"/>
          <w:kern w:val="0"/>
          <w:sz w:val="24"/>
          <w:szCs w:val="24"/>
        </w:rPr>
        <w:t>，经审核</w:t>
      </w:r>
      <w:r>
        <w:rPr>
          <w:rFonts w:ascii="宋体" w:hAnsi="宋体" w:cs="仿宋_GB2312"/>
          <w:color w:val="000000"/>
          <w:kern w:val="0"/>
          <w:sz w:val="24"/>
          <w:szCs w:val="24"/>
        </w:rPr>
        <w:t>后</w:t>
      </w:r>
      <w:r>
        <w:rPr>
          <w:rFonts w:hint="eastAsia" w:ascii="宋体" w:hAnsi="宋体" w:cs="仿宋_GB2312"/>
          <w:color w:val="000000"/>
          <w:kern w:val="0"/>
          <w:sz w:val="24"/>
          <w:szCs w:val="24"/>
        </w:rPr>
        <w:t>，</w:t>
      </w:r>
      <w:r>
        <w:rPr>
          <w:rFonts w:ascii="宋体" w:hAnsi="宋体" w:cs="仿宋_GB2312"/>
          <w:color w:val="000000"/>
          <w:kern w:val="0"/>
          <w:sz w:val="24"/>
          <w:szCs w:val="24"/>
        </w:rPr>
        <w:t>予以</w:t>
      </w:r>
      <w:r>
        <w:rPr>
          <w:rFonts w:hint="eastAsia" w:ascii="宋体" w:hAnsi="宋体" w:cs="仿宋_GB2312"/>
          <w:color w:val="000000"/>
          <w:kern w:val="0"/>
          <w:sz w:val="24"/>
          <w:szCs w:val="24"/>
        </w:rPr>
        <w:t>补充</w:t>
      </w:r>
      <w:r>
        <w:rPr>
          <w:rFonts w:ascii="宋体" w:hAnsi="宋体" w:cs="仿宋_GB2312"/>
          <w:color w:val="000000"/>
          <w:kern w:val="0"/>
          <w:sz w:val="24"/>
          <w:szCs w:val="24"/>
        </w:rPr>
        <w:t>登记</w:t>
      </w:r>
      <w:r>
        <w:rPr>
          <w:rFonts w:hint="eastAsia" w:ascii="宋体" w:hAnsi="宋体" w:cs="仿宋_GB2312"/>
          <w:color w:val="000000"/>
          <w:kern w:val="0"/>
          <w:sz w:val="24"/>
          <w:szCs w:val="24"/>
        </w:rPr>
        <w:t>。</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（三）</w:t>
      </w:r>
      <w:r>
        <w:rPr>
          <w:rFonts w:ascii="宋体" w:hAnsi="宋体" w:cs="仿宋_GB2312"/>
          <w:b/>
          <w:bCs/>
          <w:color w:val="000000"/>
          <w:kern w:val="0"/>
          <w:sz w:val="24"/>
          <w:szCs w:val="24"/>
        </w:rPr>
        <w:t>个人</w:t>
      </w:r>
      <w:r>
        <w:rPr>
          <w:rFonts w:hint="eastAsia" w:ascii="宋体" w:hAnsi="宋体" w:cs="仿宋_GB2312"/>
          <w:b/>
          <w:bCs/>
          <w:color w:val="000000"/>
          <w:kern w:val="0"/>
          <w:sz w:val="24"/>
          <w:szCs w:val="24"/>
        </w:rPr>
        <w:t>申报</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教职工根据基本工作量完成情况及所取得的业绩情况，自主选择参与定档的办法，并确定拟申请的岗位类型与级档，填写《经济与管理学院（与江苏沿海沿江研究院合署）2</w:t>
      </w:r>
      <w:r>
        <w:rPr>
          <w:rFonts w:ascii="宋体" w:hAnsi="宋体" w:cs="仿宋_GB2312"/>
          <w:color w:val="000000"/>
          <w:kern w:val="0"/>
          <w:sz w:val="24"/>
          <w:szCs w:val="24"/>
        </w:rPr>
        <w:t>019-20121聘期教学科研岗位绩效定档</w:t>
      </w:r>
      <w:r>
        <w:rPr>
          <w:rFonts w:hint="eastAsia" w:ascii="宋体" w:hAnsi="宋体" w:cs="仿宋_GB2312"/>
          <w:color w:val="000000"/>
          <w:kern w:val="0"/>
          <w:sz w:val="24"/>
          <w:szCs w:val="24"/>
        </w:rPr>
        <w:t>4</w:t>
      </w:r>
      <w:r>
        <w:rPr>
          <w:rFonts w:ascii="宋体" w:hAnsi="宋体" w:cs="仿宋_GB2312"/>
          <w:color w:val="000000"/>
          <w:kern w:val="0"/>
          <w:sz w:val="24"/>
          <w:szCs w:val="24"/>
        </w:rPr>
        <w:t>-13档申报表</w:t>
      </w:r>
      <w:r>
        <w:rPr>
          <w:rFonts w:hint="eastAsia" w:ascii="宋体" w:hAnsi="宋体" w:cs="仿宋_GB2312"/>
          <w:color w:val="000000"/>
          <w:kern w:val="0"/>
          <w:sz w:val="24"/>
          <w:szCs w:val="24"/>
        </w:rPr>
        <w:t>》，交学院岗位聘用工作小组。</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（四）业绩展示</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岗位聘用工作小组</w:t>
      </w:r>
      <w:r>
        <w:rPr>
          <w:rFonts w:ascii="宋体" w:hAnsi="宋体" w:cs="仿宋_GB2312"/>
          <w:color w:val="000000"/>
          <w:kern w:val="0"/>
          <w:sz w:val="24"/>
          <w:szCs w:val="24"/>
        </w:rPr>
        <w:t>将</w:t>
      </w:r>
      <w:r>
        <w:rPr>
          <w:rFonts w:hint="eastAsia" w:ascii="宋体" w:hAnsi="宋体" w:cs="仿宋_GB2312"/>
          <w:color w:val="000000"/>
          <w:kern w:val="0"/>
          <w:sz w:val="24"/>
          <w:szCs w:val="24"/>
        </w:rPr>
        <w:t>申报中、高级档的</w:t>
      </w:r>
      <w:r>
        <w:rPr>
          <w:rFonts w:ascii="宋体" w:hAnsi="宋体" w:cs="仿宋_GB2312"/>
          <w:color w:val="000000"/>
          <w:kern w:val="0"/>
          <w:sz w:val="24"/>
          <w:szCs w:val="24"/>
        </w:rPr>
        <w:t>人员的教学工作量及业绩成果在全院范围内进行公开展示</w:t>
      </w:r>
      <w:r>
        <w:rPr>
          <w:rFonts w:hint="eastAsia" w:ascii="宋体" w:hAnsi="宋体" w:cs="仿宋_GB2312"/>
          <w:color w:val="000000"/>
          <w:kern w:val="0"/>
          <w:sz w:val="24"/>
          <w:szCs w:val="24"/>
        </w:rPr>
        <w:t>，</w:t>
      </w:r>
      <w:r>
        <w:rPr>
          <w:rFonts w:ascii="宋体" w:hAnsi="宋体" w:cs="仿宋_GB2312"/>
          <w:color w:val="000000"/>
          <w:kern w:val="0"/>
          <w:sz w:val="24"/>
          <w:szCs w:val="24"/>
        </w:rPr>
        <w:t>接受教职工监督</w:t>
      </w:r>
      <w:r>
        <w:rPr>
          <w:rFonts w:hint="eastAsia" w:ascii="宋体" w:hAnsi="宋体" w:cs="仿宋_GB2312"/>
          <w:color w:val="000000"/>
          <w:kern w:val="0"/>
          <w:sz w:val="24"/>
          <w:szCs w:val="24"/>
        </w:rPr>
        <w:t>。</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（五）民意测评</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对</w:t>
      </w:r>
      <w:r>
        <w:rPr>
          <w:rFonts w:hint="eastAsia" w:ascii="宋体" w:hAnsi="宋体" w:cs="仿宋_GB2312"/>
          <w:color w:val="000000"/>
          <w:kern w:val="0"/>
          <w:sz w:val="24"/>
          <w:szCs w:val="24"/>
        </w:rPr>
        <w:t>申报中、高级档的</w:t>
      </w:r>
      <w:r>
        <w:rPr>
          <w:rFonts w:ascii="宋体" w:hAnsi="宋体" w:cs="仿宋_GB2312"/>
          <w:color w:val="000000"/>
          <w:kern w:val="0"/>
          <w:sz w:val="24"/>
          <w:szCs w:val="24"/>
        </w:rPr>
        <w:t>人员</w:t>
      </w:r>
      <w:r>
        <w:rPr>
          <w:rFonts w:hint="eastAsia" w:ascii="宋体" w:hAnsi="宋体" w:cs="仿宋_GB2312"/>
          <w:color w:val="000000"/>
          <w:kern w:val="0"/>
          <w:sz w:val="24"/>
          <w:szCs w:val="24"/>
        </w:rPr>
        <w:t>进行</w:t>
      </w:r>
      <w:r>
        <w:rPr>
          <w:rFonts w:ascii="宋体" w:hAnsi="宋体" w:cs="仿宋_GB2312"/>
          <w:color w:val="000000"/>
          <w:kern w:val="0"/>
          <w:sz w:val="24"/>
          <w:szCs w:val="24"/>
        </w:rPr>
        <w:t>民意测评</w:t>
      </w:r>
      <w:r>
        <w:rPr>
          <w:rFonts w:hint="eastAsia" w:ascii="宋体" w:hAnsi="宋体" w:cs="仿宋_GB2312"/>
          <w:color w:val="000000"/>
          <w:kern w:val="0"/>
          <w:sz w:val="24"/>
          <w:szCs w:val="24"/>
        </w:rPr>
        <w:t>，赞成票达到三分之二的申报人员转入下一环节，赞成票不到三分之二的人员不进入中、高级档定档。</w:t>
      </w:r>
    </w:p>
    <w:p>
      <w:pPr>
        <w:autoSpaceDE w:val="0"/>
        <w:autoSpaceDN w:val="0"/>
        <w:adjustRightInd w:val="0"/>
        <w:spacing w:line="400" w:lineRule="exact"/>
        <w:ind w:firstLine="482" w:firstLineChars="200"/>
        <w:rPr>
          <w:rFonts w:ascii="宋体" w:hAnsi="宋体" w:cs="仿宋_GB2312"/>
          <w:color w:val="000000"/>
          <w:kern w:val="0"/>
          <w:sz w:val="24"/>
          <w:szCs w:val="24"/>
        </w:rPr>
      </w:pPr>
      <w:r>
        <w:rPr>
          <w:rFonts w:hint="eastAsia" w:ascii="宋体" w:hAnsi="宋体" w:cs="仿宋_GB2312"/>
          <w:b/>
          <w:bCs/>
          <w:color w:val="000000"/>
          <w:kern w:val="0"/>
          <w:sz w:val="24"/>
          <w:szCs w:val="24"/>
        </w:rPr>
        <w:t>（六）确定</w:t>
      </w:r>
      <w:r>
        <w:rPr>
          <w:rFonts w:ascii="宋体" w:hAnsi="宋体" w:cs="仿宋_GB2312"/>
          <w:b/>
          <w:bCs/>
          <w:color w:val="000000"/>
          <w:kern w:val="0"/>
          <w:sz w:val="24"/>
          <w:szCs w:val="24"/>
        </w:rPr>
        <w:t>级档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学院</w:t>
      </w:r>
      <w:r>
        <w:rPr>
          <w:rFonts w:ascii="宋体" w:hAnsi="宋体" w:cs="仿宋_GB2312"/>
          <w:color w:val="000000"/>
          <w:kern w:val="0"/>
          <w:sz w:val="24"/>
          <w:szCs w:val="24"/>
        </w:rPr>
        <w:t>岗位聘用工作小组根据认定评审业绩条件</w:t>
      </w:r>
      <w:r>
        <w:rPr>
          <w:rFonts w:hint="eastAsia" w:ascii="宋体" w:hAnsi="宋体" w:cs="仿宋_GB2312"/>
          <w:color w:val="000000"/>
          <w:kern w:val="0"/>
          <w:sz w:val="24"/>
          <w:szCs w:val="24"/>
        </w:rPr>
        <w:t>、</w:t>
      </w:r>
      <w:r>
        <w:rPr>
          <w:rFonts w:ascii="宋体" w:hAnsi="宋体" w:cs="仿宋_GB2312"/>
          <w:color w:val="000000"/>
          <w:kern w:val="0"/>
          <w:sz w:val="24"/>
          <w:szCs w:val="24"/>
        </w:rPr>
        <w:t>积分排序情况及岗位级档指标确定</w:t>
      </w:r>
      <w:r>
        <w:rPr>
          <w:rFonts w:hint="eastAsia" w:ascii="宋体" w:hAnsi="宋体" w:cs="仿宋_GB2312"/>
          <w:color w:val="000000"/>
          <w:kern w:val="0"/>
          <w:sz w:val="24"/>
          <w:szCs w:val="24"/>
        </w:rPr>
        <w:t>教职工</w:t>
      </w:r>
      <w:r>
        <w:rPr>
          <w:rFonts w:ascii="宋体" w:hAnsi="宋体" w:cs="仿宋_GB2312"/>
          <w:color w:val="000000"/>
          <w:kern w:val="0"/>
          <w:sz w:val="24"/>
          <w:szCs w:val="24"/>
        </w:rPr>
        <w:t>的绩效岗位档级</w:t>
      </w:r>
      <w:r>
        <w:rPr>
          <w:rFonts w:hint="eastAsia" w:ascii="宋体" w:hAnsi="宋体" w:cs="仿宋_GB2312"/>
          <w:color w:val="000000"/>
          <w:kern w:val="0"/>
          <w:sz w:val="24"/>
          <w:szCs w:val="24"/>
        </w:rPr>
        <w:t>，</w:t>
      </w:r>
      <w:r>
        <w:rPr>
          <w:rFonts w:ascii="宋体" w:hAnsi="宋体" w:cs="仿宋_GB2312"/>
          <w:color w:val="000000"/>
          <w:kern w:val="0"/>
          <w:sz w:val="24"/>
          <w:szCs w:val="24"/>
        </w:rPr>
        <w:t>报院党政联席会议审议通过。</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（七）</w:t>
      </w:r>
      <w:r>
        <w:rPr>
          <w:rFonts w:ascii="宋体" w:hAnsi="宋体" w:cs="仿宋_GB2312"/>
          <w:b/>
          <w:bCs/>
          <w:color w:val="000000"/>
          <w:kern w:val="0"/>
          <w:sz w:val="24"/>
          <w:szCs w:val="24"/>
        </w:rPr>
        <w:t>结果公示与上报</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将定档结果在网上公示，无异议后填写《绩效定档各级档人选汇总表》上报学校。</w:t>
      </w:r>
    </w:p>
    <w:p>
      <w:pPr>
        <w:autoSpaceDE w:val="0"/>
        <w:autoSpaceDN w:val="0"/>
        <w:adjustRightInd w:val="0"/>
        <w:spacing w:line="400" w:lineRule="exact"/>
        <w:ind w:firstLine="482" w:firstLineChars="200"/>
        <w:rPr>
          <w:rFonts w:ascii="宋体" w:hAnsi="宋体" w:cs="仿宋_GB2312"/>
          <w:b/>
          <w:color w:val="000000"/>
          <w:kern w:val="0"/>
          <w:sz w:val="24"/>
          <w:szCs w:val="24"/>
        </w:rPr>
      </w:pPr>
      <w:r>
        <w:rPr>
          <w:rFonts w:hint="eastAsia" w:ascii="宋体" w:hAnsi="宋体" w:cs="仿宋_GB2312"/>
          <w:b/>
          <w:color w:val="000000"/>
          <w:kern w:val="0"/>
          <w:sz w:val="24"/>
          <w:szCs w:val="24"/>
        </w:rPr>
        <w:t>五、相关说明</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（一）关于级档指标</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专业技术岗位某级档指标空缺数可作为同类岗位下一级档指标的增量使用。</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（二）关于教学基本工作量</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1.教学基本</w:t>
      </w:r>
      <w:r>
        <w:rPr>
          <w:rFonts w:hint="eastAsia" w:ascii="宋体" w:hAnsi="宋体" w:cs="仿宋_GB2312"/>
          <w:color w:val="000000"/>
          <w:kern w:val="0"/>
          <w:sz w:val="24"/>
          <w:szCs w:val="24"/>
        </w:rPr>
        <w:t>工作量按计划学时数测算，含：理论教学、实验（实践）教学、毕业设计（论文）指导，指导本科生毕业论文折算1</w:t>
      </w:r>
      <w:r>
        <w:rPr>
          <w:rFonts w:ascii="宋体" w:hAnsi="宋体" w:cs="仿宋_GB2312"/>
          <w:color w:val="000000"/>
          <w:kern w:val="0"/>
          <w:sz w:val="24"/>
          <w:szCs w:val="24"/>
        </w:rPr>
        <w:t>5</w:t>
      </w:r>
      <w:r>
        <w:rPr>
          <w:rFonts w:hint="eastAsia" w:ascii="宋体" w:hAnsi="宋体" w:cs="仿宋_GB2312"/>
          <w:color w:val="000000"/>
          <w:kern w:val="0"/>
          <w:sz w:val="24"/>
          <w:szCs w:val="24"/>
        </w:rPr>
        <w:t>学时/生，整周教学实践环节折算5学时/周。</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.教职工在</w:t>
      </w:r>
      <w:r>
        <w:rPr>
          <w:rFonts w:hint="eastAsia" w:ascii="宋体" w:hAnsi="宋体" w:cs="仿宋_GB2312"/>
          <w:color w:val="000000"/>
          <w:kern w:val="0"/>
          <w:sz w:val="24"/>
          <w:szCs w:val="24"/>
        </w:rPr>
        <w:t>本校及杏林学院承担的全日制本科生、研究生教学任务，均视为其完成的教学基本工作量；教职工承担的教学任务达不到规定标准时，其承担留学生、“二学历”自考助学教学任务可折算为相应工作量。</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（三）关于业绩成果及积分规则</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1</w:t>
      </w:r>
      <w:r>
        <w:rPr>
          <w:rFonts w:ascii="宋体" w:hAnsi="宋体" w:cs="仿宋_GB2312"/>
          <w:color w:val="000000"/>
          <w:kern w:val="0"/>
          <w:sz w:val="24"/>
          <w:szCs w:val="24"/>
        </w:rPr>
        <w:t>.纳入积分的业绩成果均为2016</w:t>
      </w:r>
      <w:r>
        <w:rPr>
          <w:rFonts w:hint="eastAsia" w:ascii="宋体" w:hAnsi="宋体" w:cs="仿宋_GB2312"/>
          <w:color w:val="000000"/>
          <w:kern w:val="0"/>
          <w:sz w:val="24"/>
          <w:szCs w:val="24"/>
        </w:rPr>
        <w:t>年</w:t>
      </w:r>
      <w:r>
        <w:rPr>
          <w:rFonts w:ascii="宋体" w:hAnsi="宋体" w:cs="仿宋_GB2312"/>
          <w:color w:val="000000"/>
          <w:kern w:val="0"/>
          <w:sz w:val="24"/>
          <w:szCs w:val="24"/>
        </w:rPr>
        <w:t>1</w:t>
      </w:r>
      <w:r>
        <w:rPr>
          <w:rFonts w:hint="eastAsia" w:ascii="宋体" w:hAnsi="宋体" w:cs="仿宋_GB2312"/>
          <w:color w:val="000000"/>
          <w:kern w:val="0"/>
          <w:sz w:val="24"/>
          <w:szCs w:val="24"/>
        </w:rPr>
        <w:t>月</w:t>
      </w:r>
      <w:r>
        <w:rPr>
          <w:rFonts w:ascii="宋体" w:hAnsi="宋体" w:cs="仿宋_GB2312"/>
          <w:color w:val="000000"/>
          <w:kern w:val="0"/>
          <w:sz w:val="24"/>
          <w:szCs w:val="24"/>
        </w:rPr>
        <w:t>1</w:t>
      </w:r>
      <w:r>
        <w:rPr>
          <w:rFonts w:hint="eastAsia" w:ascii="宋体" w:hAnsi="宋体" w:cs="仿宋_GB2312"/>
          <w:color w:val="000000"/>
          <w:kern w:val="0"/>
          <w:sz w:val="24"/>
          <w:szCs w:val="24"/>
        </w:rPr>
        <w:t>日至</w:t>
      </w:r>
      <w:r>
        <w:rPr>
          <w:rFonts w:ascii="宋体" w:hAnsi="宋体" w:cs="仿宋_GB2312"/>
          <w:color w:val="000000"/>
          <w:kern w:val="0"/>
          <w:sz w:val="24"/>
          <w:szCs w:val="24"/>
        </w:rPr>
        <w:t>2018</w:t>
      </w:r>
      <w:r>
        <w:rPr>
          <w:rFonts w:hint="eastAsia" w:ascii="宋体" w:hAnsi="宋体" w:cs="仿宋_GB2312"/>
          <w:color w:val="000000"/>
          <w:kern w:val="0"/>
          <w:sz w:val="24"/>
          <w:szCs w:val="24"/>
        </w:rPr>
        <w:t>年</w:t>
      </w:r>
      <w:r>
        <w:rPr>
          <w:rFonts w:ascii="宋体" w:hAnsi="宋体" w:cs="仿宋_GB2312"/>
          <w:color w:val="000000"/>
          <w:kern w:val="0"/>
          <w:sz w:val="24"/>
          <w:szCs w:val="24"/>
        </w:rPr>
        <w:t>12</w:t>
      </w:r>
      <w:r>
        <w:rPr>
          <w:rFonts w:hint="eastAsia" w:ascii="宋体" w:hAnsi="宋体" w:cs="仿宋_GB2312"/>
          <w:color w:val="000000"/>
          <w:kern w:val="0"/>
          <w:sz w:val="24"/>
          <w:szCs w:val="24"/>
        </w:rPr>
        <w:t>月</w:t>
      </w:r>
      <w:r>
        <w:rPr>
          <w:rFonts w:ascii="宋体" w:hAnsi="宋体" w:cs="仿宋_GB2312"/>
          <w:color w:val="000000"/>
          <w:kern w:val="0"/>
          <w:sz w:val="24"/>
          <w:szCs w:val="24"/>
        </w:rPr>
        <w:t>31</w:t>
      </w:r>
      <w:r>
        <w:rPr>
          <w:rFonts w:hint="eastAsia" w:ascii="宋体" w:hAnsi="宋体" w:cs="仿宋_GB2312"/>
          <w:color w:val="000000"/>
          <w:kern w:val="0"/>
          <w:sz w:val="24"/>
          <w:szCs w:val="24"/>
        </w:rPr>
        <w:t>日期间的新增业绩（不重复使用），项目以合同开始时间、论文以发表时间、获奖以发文时间为准。因退休无法参与</w:t>
      </w:r>
      <w:r>
        <w:rPr>
          <w:rFonts w:ascii="宋体" w:hAnsi="宋体" w:cs="仿宋_GB2312"/>
          <w:color w:val="000000"/>
          <w:kern w:val="0"/>
          <w:sz w:val="24"/>
          <w:szCs w:val="24"/>
        </w:rPr>
        <w:t>2022-2024</w:t>
      </w:r>
      <w:r>
        <w:rPr>
          <w:rFonts w:hint="eastAsia" w:ascii="宋体" w:hAnsi="宋体" w:cs="仿宋_GB2312"/>
          <w:color w:val="000000"/>
          <w:kern w:val="0"/>
          <w:sz w:val="24"/>
          <w:szCs w:val="24"/>
        </w:rPr>
        <w:t>年聘期岗位绩效定档的，经个人申请，项目可从立项发文时间、获奖可按获奖年度计算。</w:t>
      </w:r>
      <w:r>
        <w:rPr>
          <w:rFonts w:ascii="宋体" w:hAnsi="宋体" w:cs="仿宋_GB2312"/>
          <w:color w:val="000000"/>
          <w:kern w:val="0"/>
          <w:sz w:val="24"/>
          <w:szCs w:val="24"/>
        </w:rPr>
        <w:t>2018</w:t>
      </w:r>
      <w:r>
        <w:rPr>
          <w:rFonts w:hint="eastAsia" w:ascii="宋体" w:hAnsi="宋体" w:cs="仿宋_GB2312"/>
          <w:color w:val="000000"/>
          <w:kern w:val="0"/>
          <w:sz w:val="24"/>
          <w:szCs w:val="24"/>
        </w:rPr>
        <w:t>年</w:t>
      </w:r>
      <w:r>
        <w:rPr>
          <w:rFonts w:ascii="宋体" w:hAnsi="宋体" w:cs="仿宋_GB2312"/>
          <w:color w:val="000000"/>
          <w:kern w:val="0"/>
          <w:sz w:val="24"/>
          <w:szCs w:val="24"/>
        </w:rPr>
        <w:t>12</w:t>
      </w:r>
      <w:r>
        <w:rPr>
          <w:rFonts w:hint="eastAsia" w:ascii="宋体" w:hAnsi="宋体" w:cs="仿宋_GB2312"/>
          <w:color w:val="000000"/>
          <w:kern w:val="0"/>
          <w:sz w:val="24"/>
          <w:szCs w:val="24"/>
        </w:rPr>
        <w:t>月</w:t>
      </w:r>
      <w:r>
        <w:rPr>
          <w:rFonts w:ascii="宋体" w:hAnsi="宋体" w:cs="仿宋_GB2312"/>
          <w:color w:val="000000"/>
          <w:kern w:val="0"/>
          <w:sz w:val="24"/>
          <w:szCs w:val="24"/>
        </w:rPr>
        <w:t>31</w:t>
      </w:r>
      <w:r>
        <w:rPr>
          <w:rFonts w:hint="eastAsia" w:ascii="宋体" w:hAnsi="宋体" w:cs="仿宋_GB2312"/>
          <w:color w:val="000000"/>
          <w:kern w:val="0"/>
          <w:sz w:val="24"/>
          <w:szCs w:val="24"/>
        </w:rPr>
        <w:t>日前年满</w:t>
      </w:r>
      <w:r>
        <w:rPr>
          <w:rFonts w:ascii="宋体" w:hAnsi="宋体" w:cs="仿宋_GB2312"/>
          <w:color w:val="000000"/>
          <w:kern w:val="0"/>
          <w:sz w:val="24"/>
          <w:szCs w:val="24"/>
        </w:rPr>
        <w:t>60</w:t>
      </w:r>
      <w:r>
        <w:rPr>
          <w:rFonts w:hint="eastAsia" w:ascii="宋体" w:hAnsi="宋体" w:cs="仿宋_GB2312"/>
          <w:color w:val="000000"/>
          <w:kern w:val="0"/>
          <w:sz w:val="24"/>
          <w:szCs w:val="24"/>
        </w:rPr>
        <w:t>周岁，在2016-2018年期间未新增国家级项目的，其</w:t>
      </w:r>
      <w:r>
        <w:rPr>
          <w:rFonts w:ascii="宋体" w:hAnsi="宋体" w:cs="仿宋_GB2312"/>
          <w:color w:val="000000"/>
          <w:kern w:val="0"/>
          <w:sz w:val="24"/>
          <w:szCs w:val="24"/>
        </w:rPr>
        <w:t>2016-2018</w:t>
      </w:r>
      <w:r>
        <w:rPr>
          <w:rFonts w:hint="eastAsia" w:ascii="宋体" w:hAnsi="宋体" w:cs="仿宋_GB2312"/>
          <w:color w:val="000000"/>
          <w:kern w:val="0"/>
          <w:sz w:val="24"/>
          <w:szCs w:val="24"/>
        </w:rPr>
        <w:t>年期间在研的非延期国家级项目视同新增立项。</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w:t>
      </w:r>
      <w:r>
        <w:rPr>
          <w:rFonts w:hint="eastAsia" w:ascii="宋体" w:hAnsi="宋体" w:cs="仿宋_GB2312"/>
          <w:color w:val="000000"/>
          <w:kern w:val="0"/>
          <w:sz w:val="24"/>
          <w:szCs w:val="24"/>
        </w:rPr>
        <w:t>纳入积分的业绩项目根据《南通大学科研业绩分计算办法》（通大〔2</w:t>
      </w:r>
      <w:r>
        <w:rPr>
          <w:rFonts w:ascii="宋体" w:hAnsi="宋体" w:cs="仿宋_GB2312"/>
          <w:color w:val="000000"/>
          <w:kern w:val="0"/>
          <w:sz w:val="24"/>
          <w:szCs w:val="24"/>
        </w:rPr>
        <w:t>018</w:t>
      </w:r>
      <w:r>
        <w:rPr>
          <w:rFonts w:hint="eastAsia" w:ascii="宋体" w:hAnsi="宋体" w:cs="仿宋_GB2312"/>
          <w:color w:val="000000"/>
          <w:kern w:val="0"/>
          <w:sz w:val="24"/>
          <w:szCs w:val="24"/>
        </w:rPr>
        <w:t>〕</w:t>
      </w:r>
      <w:r>
        <w:rPr>
          <w:rFonts w:ascii="宋体" w:hAnsi="宋体" w:cs="仿宋_GB2312"/>
          <w:color w:val="000000"/>
          <w:kern w:val="0"/>
          <w:sz w:val="24"/>
          <w:szCs w:val="24"/>
        </w:rPr>
        <w:t>22号</w:t>
      </w:r>
      <w:r>
        <w:rPr>
          <w:rFonts w:hint="eastAsia" w:ascii="宋体" w:hAnsi="宋体" w:cs="仿宋_GB2312"/>
          <w:color w:val="000000"/>
          <w:kern w:val="0"/>
          <w:sz w:val="24"/>
          <w:szCs w:val="24"/>
        </w:rPr>
        <w:t>）与《南通大学教学业绩分计算办法》（通大〔2</w:t>
      </w:r>
      <w:r>
        <w:rPr>
          <w:rFonts w:ascii="宋体" w:hAnsi="宋体" w:cs="仿宋_GB2312"/>
          <w:color w:val="000000"/>
          <w:kern w:val="0"/>
          <w:sz w:val="24"/>
          <w:szCs w:val="24"/>
        </w:rPr>
        <w:t>018</w:t>
      </w:r>
      <w:r>
        <w:rPr>
          <w:rFonts w:hint="eastAsia" w:ascii="宋体" w:hAnsi="宋体" w:cs="仿宋_GB2312"/>
          <w:color w:val="000000"/>
          <w:kern w:val="0"/>
          <w:sz w:val="24"/>
          <w:szCs w:val="24"/>
        </w:rPr>
        <w:t>〕</w:t>
      </w:r>
      <w:r>
        <w:rPr>
          <w:rFonts w:ascii="宋体" w:hAnsi="宋体" w:cs="仿宋_GB2312"/>
          <w:color w:val="000000"/>
          <w:kern w:val="0"/>
          <w:sz w:val="24"/>
          <w:szCs w:val="24"/>
        </w:rPr>
        <w:t>33号</w:t>
      </w:r>
      <w:r>
        <w:rPr>
          <w:rFonts w:hint="eastAsia" w:ascii="宋体" w:hAnsi="宋体" w:cs="仿宋_GB2312"/>
          <w:color w:val="000000"/>
          <w:kern w:val="0"/>
          <w:sz w:val="24"/>
          <w:szCs w:val="24"/>
        </w:rPr>
        <w:t>）执行；教学、科研业绩成果的级别按学校当期规定认定，计分分值按通大〔2</w:t>
      </w:r>
      <w:r>
        <w:rPr>
          <w:rFonts w:ascii="宋体" w:hAnsi="宋体" w:cs="仿宋_GB2312"/>
          <w:color w:val="000000"/>
          <w:kern w:val="0"/>
          <w:sz w:val="24"/>
          <w:szCs w:val="24"/>
        </w:rPr>
        <w:t>018</w:t>
      </w:r>
      <w:r>
        <w:rPr>
          <w:rFonts w:hint="eastAsia" w:ascii="宋体" w:hAnsi="宋体" w:cs="仿宋_GB2312"/>
          <w:color w:val="000000"/>
          <w:kern w:val="0"/>
          <w:sz w:val="24"/>
          <w:szCs w:val="24"/>
        </w:rPr>
        <w:t>〕</w:t>
      </w:r>
      <w:r>
        <w:rPr>
          <w:rFonts w:ascii="宋体" w:hAnsi="宋体" w:cs="仿宋_GB2312"/>
          <w:color w:val="000000"/>
          <w:kern w:val="0"/>
          <w:sz w:val="24"/>
          <w:szCs w:val="24"/>
        </w:rPr>
        <w:t>22号</w:t>
      </w:r>
      <w:r>
        <w:rPr>
          <w:rFonts w:hint="eastAsia" w:ascii="宋体" w:hAnsi="宋体" w:cs="仿宋_GB2312"/>
          <w:color w:val="000000"/>
          <w:kern w:val="0"/>
          <w:sz w:val="24"/>
          <w:szCs w:val="24"/>
        </w:rPr>
        <w:t>、</w:t>
      </w:r>
      <w:r>
        <w:rPr>
          <w:rFonts w:ascii="宋体" w:hAnsi="宋体" w:cs="仿宋_GB2312"/>
          <w:color w:val="000000"/>
          <w:kern w:val="0"/>
          <w:sz w:val="24"/>
          <w:szCs w:val="24"/>
        </w:rPr>
        <w:t>33号文执行</w:t>
      </w:r>
      <w:r>
        <w:rPr>
          <w:rFonts w:hint="eastAsia" w:ascii="宋体" w:hAnsi="宋体" w:cs="仿宋_GB2312"/>
          <w:color w:val="000000"/>
          <w:kern w:val="0"/>
          <w:sz w:val="24"/>
          <w:szCs w:val="24"/>
        </w:rPr>
        <w:t>。</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3.项目业绩分计算到</w:t>
      </w:r>
      <w:r>
        <w:rPr>
          <w:rFonts w:hint="eastAsia" w:ascii="宋体" w:hAnsi="宋体" w:cs="仿宋_GB2312"/>
          <w:color w:val="000000"/>
          <w:kern w:val="0"/>
          <w:sz w:val="24"/>
          <w:szCs w:val="24"/>
        </w:rPr>
        <w:t>主持</w:t>
      </w:r>
      <w:r>
        <w:rPr>
          <w:rFonts w:ascii="宋体" w:hAnsi="宋体" w:cs="仿宋_GB2312"/>
          <w:color w:val="000000"/>
          <w:kern w:val="0"/>
          <w:sz w:val="24"/>
          <w:szCs w:val="24"/>
        </w:rPr>
        <w:t>人</w:t>
      </w:r>
      <w:r>
        <w:rPr>
          <w:rFonts w:hint="eastAsia" w:ascii="宋体" w:hAnsi="宋体" w:cs="仿宋_GB2312"/>
          <w:color w:val="000000"/>
          <w:kern w:val="0"/>
          <w:sz w:val="24"/>
          <w:szCs w:val="24"/>
        </w:rPr>
        <w:t>；</w:t>
      </w:r>
      <w:r>
        <w:rPr>
          <w:rFonts w:ascii="宋体" w:hAnsi="宋体" w:cs="仿宋_GB2312"/>
          <w:color w:val="000000"/>
          <w:kern w:val="0"/>
          <w:sz w:val="24"/>
          <w:szCs w:val="24"/>
        </w:rPr>
        <w:t>论文</w:t>
      </w:r>
      <w:r>
        <w:rPr>
          <w:rFonts w:hint="eastAsia" w:ascii="宋体" w:hAnsi="宋体" w:cs="仿宋_GB2312"/>
          <w:color w:val="000000"/>
          <w:kern w:val="0"/>
          <w:sz w:val="24"/>
          <w:szCs w:val="24"/>
        </w:rPr>
        <w:t>业绩分</w:t>
      </w:r>
      <w:r>
        <w:rPr>
          <w:rFonts w:ascii="宋体" w:hAnsi="宋体" w:cs="仿宋_GB2312"/>
          <w:color w:val="000000"/>
          <w:kern w:val="0"/>
          <w:sz w:val="24"/>
          <w:szCs w:val="24"/>
        </w:rPr>
        <w:t>计算到第一作者</w:t>
      </w:r>
      <w:r>
        <w:rPr>
          <w:rFonts w:hint="eastAsia" w:ascii="宋体" w:hAnsi="宋体" w:cs="仿宋_GB2312"/>
          <w:color w:val="000000"/>
          <w:kern w:val="0"/>
          <w:sz w:val="24"/>
          <w:szCs w:val="24"/>
        </w:rPr>
        <w:t>，S</w:t>
      </w:r>
      <w:r>
        <w:rPr>
          <w:rFonts w:ascii="宋体" w:hAnsi="宋体" w:cs="仿宋_GB2312"/>
          <w:color w:val="000000"/>
          <w:kern w:val="0"/>
          <w:sz w:val="24"/>
          <w:szCs w:val="24"/>
        </w:rPr>
        <w:t>CI</w:t>
      </w:r>
      <w:r>
        <w:rPr>
          <w:rFonts w:hint="eastAsia" w:ascii="宋体" w:hAnsi="宋体" w:cs="仿宋_GB2312"/>
          <w:color w:val="000000"/>
          <w:kern w:val="0"/>
          <w:sz w:val="24"/>
          <w:szCs w:val="24"/>
        </w:rPr>
        <w:t>、E</w:t>
      </w:r>
      <w:r>
        <w:rPr>
          <w:rFonts w:ascii="宋体" w:hAnsi="宋体" w:cs="仿宋_GB2312"/>
          <w:color w:val="000000"/>
          <w:kern w:val="0"/>
          <w:sz w:val="24"/>
          <w:szCs w:val="24"/>
        </w:rPr>
        <w:t>I收录论文可计算到通讯作者</w:t>
      </w:r>
      <w:r>
        <w:rPr>
          <w:rFonts w:hint="eastAsia" w:ascii="宋体" w:hAnsi="宋体" w:cs="仿宋_GB2312"/>
          <w:color w:val="000000"/>
          <w:kern w:val="0"/>
          <w:sz w:val="24"/>
          <w:szCs w:val="24"/>
        </w:rPr>
        <w:t>，同一篇论文的业绩分限一人使用；多名人员参与的获奖和著作，业绩分计算给证书或著作的署名人员，</w:t>
      </w:r>
      <w:r>
        <w:rPr>
          <w:rFonts w:ascii="宋体" w:hAnsi="宋体" w:cs="仿宋_GB2312"/>
          <w:color w:val="000000"/>
          <w:kern w:val="0"/>
          <w:sz w:val="24"/>
          <w:szCs w:val="24"/>
        </w:rPr>
        <w:t>涉及到排名的，按排名先后计分，分别为1/2+X、1/4、1/8</w:t>
      </w:r>
      <w:r>
        <w:rPr>
          <w:rFonts w:hint="eastAsia" w:ascii="宋体" w:hAnsi="宋体" w:cs="仿宋_GB2312"/>
          <w:color w:val="000000"/>
          <w:kern w:val="0"/>
          <w:sz w:val="24"/>
          <w:szCs w:val="24"/>
        </w:rPr>
        <w:t>、1</w:t>
      </w:r>
      <w:r>
        <w:rPr>
          <w:rFonts w:ascii="宋体" w:hAnsi="宋体" w:cs="仿宋_GB2312"/>
          <w:color w:val="000000"/>
          <w:kern w:val="0"/>
          <w:sz w:val="24"/>
          <w:szCs w:val="24"/>
        </w:rPr>
        <w:t>/16……以此递推，X为尾数</w:t>
      </w:r>
      <w:r>
        <w:rPr>
          <w:rFonts w:hint="eastAsia" w:ascii="宋体" w:hAnsi="宋体" w:cs="仿宋_GB2312"/>
          <w:color w:val="000000"/>
          <w:kern w:val="0"/>
          <w:sz w:val="24"/>
          <w:szCs w:val="24"/>
        </w:rPr>
        <w:t>，</w:t>
      </w:r>
      <w:r>
        <w:rPr>
          <w:rFonts w:ascii="宋体" w:hAnsi="宋体" w:cs="仿宋_GB2312"/>
          <w:color w:val="000000"/>
          <w:kern w:val="0"/>
          <w:sz w:val="24"/>
          <w:szCs w:val="24"/>
        </w:rPr>
        <w:t>无法确定排名的</w:t>
      </w:r>
      <w:r>
        <w:rPr>
          <w:rFonts w:hint="eastAsia" w:ascii="宋体" w:hAnsi="宋体" w:cs="仿宋_GB2312"/>
          <w:color w:val="000000"/>
          <w:kern w:val="0"/>
          <w:sz w:val="24"/>
          <w:szCs w:val="24"/>
        </w:rPr>
        <w:t>，</w:t>
      </w:r>
      <w:r>
        <w:rPr>
          <w:rFonts w:ascii="宋体" w:hAnsi="宋体" w:cs="仿宋_GB2312"/>
          <w:color w:val="000000"/>
          <w:kern w:val="0"/>
          <w:sz w:val="24"/>
          <w:szCs w:val="24"/>
        </w:rPr>
        <w:t>按参与人员进行平均处理</w:t>
      </w:r>
      <w:r>
        <w:rPr>
          <w:rFonts w:hint="eastAsia" w:ascii="宋体" w:hAnsi="宋体" w:cs="仿宋_GB2312"/>
          <w:color w:val="000000"/>
          <w:kern w:val="0"/>
          <w:sz w:val="24"/>
          <w:szCs w:val="24"/>
        </w:rPr>
        <w:t>。</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4.</w:t>
      </w:r>
      <w:r>
        <w:rPr>
          <w:rFonts w:hint="eastAsia" w:ascii="宋体" w:hAnsi="宋体" w:cs="仿宋_GB2312"/>
          <w:color w:val="000000"/>
          <w:kern w:val="0"/>
          <w:sz w:val="24"/>
          <w:szCs w:val="24"/>
        </w:rPr>
        <w:t>所有业绩均须具有南通大学署名（论文、决策咨询须南通大学为第一单位，专利须南通大学为第一专利权人）。其中，</w:t>
      </w:r>
      <w:r>
        <w:rPr>
          <w:rFonts w:ascii="宋体" w:hAnsi="宋体" w:cs="仿宋_GB2312"/>
          <w:color w:val="000000"/>
          <w:kern w:val="0"/>
          <w:sz w:val="24"/>
          <w:szCs w:val="24"/>
        </w:rPr>
        <w:t>2016-2018</w:t>
      </w:r>
      <w:r>
        <w:rPr>
          <w:rFonts w:hint="eastAsia" w:ascii="宋体" w:hAnsi="宋体" w:cs="仿宋_GB2312"/>
          <w:color w:val="000000"/>
          <w:kern w:val="0"/>
          <w:sz w:val="24"/>
          <w:szCs w:val="24"/>
        </w:rPr>
        <w:t>年引进人才进校前取得的教学科研业绩可以视同具有南通大学署名业绩列入统计范围，或进校后取得的具有南通大学署名的新增业绩按实际来校工作时间作相应折算。</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（四）排序规则</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1.根据教职工申报岗位类别</w:t>
      </w:r>
      <w:r>
        <w:rPr>
          <w:rFonts w:hint="eastAsia" w:ascii="宋体" w:hAnsi="宋体" w:cs="仿宋_GB2312"/>
          <w:color w:val="000000"/>
          <w:kern w:val="0"/>
          <w:sz w:val="24"/>
          <w:szCs w:val="24"/>
        </w:rPr>
        <w:t>，</w:t>
      </w:r>
      <w:r>
        <w:rPr>
          <w:rFonts w:ascii="宋体" w:hAnsi="宋体" w:cs="仿宋_GB2312"/>
          <w:color w:val="000000"/>
          <w:kern w:val="0"/>
          <w:sz w:val="24"/>
          <w:szCs w:val="24"/>
        </w:rPr>
        <w:t>分别积分排序</w:t>
      </w:r>
      <w:r>
        <w:rPr>
          <w:rFonts w:hint="eastAsia" w:ascii="宋体" w:hAnsi="宋体" w:cs="仿宋_GB2312"/>
          <w:color w:val="000000"/>
          <w:kern w:val="0"/>
          <w:sz w:val="24"/>
          <w:szCs w:val="24"/>
        </w:rPr>
        <w:t>，并按学校规定的级档比例分别切割相应指标（四舍五入）。</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2</w:t>
      </w:r>
      <w:r>
        <w:rPr>
          <w:rFonts w:ascii="宋体" w:hAnsi="宋体" w:cs="仿宋_GB2312"/>
          <w:color w:val="000000"/>
          <w:kern w:val="0"/>
          <w:sz w:val="24"/>
          <w:szCs w:val="24"/>
        </w:rPr>
        <w:t>.</w:t>
      </w:r>
      <w:r>
        <w:rPr>
          <w:rFonts w:hint="eastAsia" w:ascii="宋体" w:hAnsi="宋体" w:cs="仿宋_GB2312"/>
          <w:color w:val="000000"/>
          <w:kern w:val="0"/>
          <w:sz w:val="24"/>
          <w:szCs w:val="24"/>
        </w:rPr>
        <w:t>申报教学科研型相关档级的人员，按“教学、科研业绩分总分——科研业绩分——教学业绩分——教学工作量”的顺序依次比较，确定个人排序。</w:t>
      </w:r>
    </w:p>
    <w:p>
      <w:pPr>
        <w:autoSpaceDE w:val="0"/>
        <w:autoSpaceDN w:val="0"/>
        <w:adjustRightInd w:val="0"/>
        <w:spacing w:line="400" w:lineRule="exact"/>
        <w:ind w:right="-57" w:rightChars="-27"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3</w:t>
      </w:r>
      <w:r>
        <w:rPr>
          <w:rFonts w:ascii="宋体" w:hAnsi="宋体" w:cs="仿宋_GB2312"/>
          <w:color w:val="000000"/>
          <w:kern w:val="0"/>
          <w:sz w:val="24"/>
          <w:szCs w:val="24"/>
        </w:rPr>
        <w:t>.</w:t>
      </w:r>
      <w:r>
        <w:rPr>
          <w:rFonts w:hint="eastAsia" w:ascii="宋体" w:hAnsi="宋体" w:cs="仿宋_GB2312"/>
          <w:color w:val="000000"/>
          <w:kern w:val="0"/>
          <w:sz w:val="24"/>
          <w:szCs w:val="24"/>
        </w:rPr>
        <w:t>申报教学为主型相关档级的人员，按“教学业绩分——科研业绩分——教学工作量”的顺序依次比较，确定个人排序。</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w:t>
      </w:r>
      <w:r>
        <w:rPr>
          <w:rFonts w:hint="eastAsia" w:ascii="宋体" w:hAnsi="宋体" w:cs="仿宋_GB2312"/>
          <w:color w:val="000000"/>
          <w:kern w:val="0"/>
          <w:sz w:val="24"/>
          <w:szCs w:val="24"/>
        </w:rPr>
        <w:t>申报科研为主型相关档级的人员，按“科研业绩分——教学业绩分——教学工作量”的顺序依次比较，确定个人排序。</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（五）关于工作量减免</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1</w:t>
      </w:r>
      <w:r>
        <w:rPr>
          <w:rFonts w:ascii="宋体" w:hAnsi="宋体" w:cs="仿宋_GB2312"/>
          <w:color w:val="000000"/>
          <w:kern w:val="0"/>
          <w:sz w:val="24"/>
          <w:szCs w:val="24"/>
        </w:rPr>
        <w:t>.</w:t>
      </w:r>
      <w:r>
        <w:rPr>
          <w:rFonts w:hint="eastAsia" w:ascii="宋体" w:hAnsi="宋体" w:cs="仿宋_GB2312"/>
          <w:color w:val="000000"/>
          <w:kern w:val="0"/>
          <w:sz w:val="24"/>
          <w:szCs w:val="24"/>
        </w:rPr>
        <w:t>根据</w:t>
      </w:r>
      <w:r>
        <w:rPr>
          <w:rFonts w:ascii="宋体" w:hAnsi="宋体" w:cs="仿宋_GB2312"/>
          <w:color w:val="000000"/>
          <w:kern w:val="0"/>
          <w:sz w:val="24"/>
          <w:szCs w:val="24"/>
        </w:rPr>
        <w:t>学校规定</w:t>
      </w:r>
      <w:r>
        <w:rPr>
          <w:rFonts w:hint="eastAsia" w:ascii="宋体" w:hAnsi="宋体" w:cs="仿宋_GB2312"/>
          <w:color w:val="000000"/>
          <w:kern w:val="0"/>
          <w:sz w:val="24"/>
          <w:szCs w:val="24"/>
        </w:rPr>
        <w:t>，</w:t>
      </w:r>
      <w:r>
        <w:rPr>
          <w:rFonts w:ascii="宋体" w:hAnsi="宋体" w:cs="仿宋_GB2312"/>
          <w:color w:val="000000"/>
          <w:kern w:val="0"/>
          <w:sz w:val="24"/>
          <w:szCs w:val="24"/>
        </w:rPr>
        <w:t>教学科研机构行政领导（管理六级及以上）、党务负责人，且聘任了高校教师、科学研究系列副高级专业技术职务人员，</w:t>
      </w:r>
      <w:r>
        <w:rPr>
          <w:rFonts w:hint="eastAsia" w:ascii="宋体" w:hAnsi="宋体" w:cs="仿宋_GB2312"/>
          <w:color w:val="000000"/>
          <w:kern w:val="0"/>
          <w:sz w:val="24"/>
          <w:szCs w:val="24"/>
        </w:rPr>
        <w:t>参加教学科研岗位绩效</w:t>
      </w:r>
      <w:r>
        <w:rPr>
          <w:rFonts w:ascii="宋体" w:hAnsi="宋体" w:cs="仿宋_GB2312"/>
          <w:color w:val="000000"/>
          <w:kern w:val="0"/>
          <w:sz w:val="24"/>
          <w:szCs w:val="24"/>
        </w:rPr>
        <w:t>定档时，教学工作量可减免50%</w:t>
      </w:r>
      <w:r>
        <w:rPr>
          <w:rFonts w:hint="eastAsia" w:ascii="宋体" w:hAnsi="宋体" w:cs="仿宋_GB2312"/>
          <w:color w:val="000000"/>
          <w:kern w:val="0"/>
          <w:sz w:val="24"/>
          <w:szCs w:val="24"/>
        </w:rPr>
        <w:t>。</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2.研究院专职从事科研工作的教师</w:t>
      </w:r>
      <w:r>
        <w:rPr>
          <w:rFonts w:hint="eastAsia" w:ascii="宋体" w:hAnsi="宋体" w:cs="仿宋_GB2312"/>
          <w:color w:val="000000"/>
          <w:kern w:val="0"/>
          <w:sz w:val="24"/>
          <w:szCs w:val="24"/>
        </w:rPr>
        <w:t>，</w:t>
      </w:r>
      <w:r>
        <w:rPr>
          <w:rFonts w:ascii="宋体" w:hAnsi="宋体" w:cs="仿宋_GB2312"/>
          <w:color w:val="000000"/>
          <w:kern w:val="0"/>
          <w:sz w:val="24"/>
          <w:szCs w:val="24"/>
        </w:rPr>
        <w:t>承担教学工作的</w:t>
      </w:r>
      <w:r>
        <w:rPr>
          <w:rFonts w:hint="eastAsia" w:ascii="宋体" w:hAnsi="宋体" w:cs="仿宋_GB2312"/>
          <w:color w:val="000000"/>
          <w:kern w:val="0"/>
          <w:sz w:val="24"/>
          <w:szCs w:val="24"/>
        </w:rPr>
        <w:t>，按教学工作量情况，根据</w:t>
      </w:r>
      <w:r>
        <w:rPr>
          <w:rFonts w:ascii="宋体" w:hAnsi="宋体" w:cs="仿宋_GB2312"/>
          <w:color w:val="000000"/>
          <w:kern w:val="0"/>
          <w:sz w:val="24"/>
          <w:szCs w:val="24"/>
        </w:rPr>
        <w:t>其本人志愿申报科研为主型或教学科研型</w:t>
      </w:r>
      <w:r>
        <w:rPr>
          <w:rFonts w:hint="eastAsia" w:ascii="宋体" w:hAnsi="宋体" w:cs="仿宋_GB2312"/>
          <w:color w:val="000000"/>
          <w:kern w:val="0"/>
          <w:sz w:val="24"/>
          <w:szCs w:val="24"/>
        </w:rPr>
        <w:t>；不承担</w:t>
      </w:r>
      <w:r>
        <w:rPr>
          <w:rFonts w:ascii="宋体" w:hAnsi="宋体" w:cs="仿宋_GB2312"/>
          <w:color w:val="000000"/>
          <w:kern w:val="0"/>
          <w:sz w:val="24"/>
          <w:szCs w:val="24"/>
        </w:rPr>
        <w:t>教学工作的</w:t>
      </w:r>
      <w:r>
        <w:rPr>
          <w:rFonts w:hint="eastAsia" w:ascii="宋体" w:hAnsi="宋体" w:cs="仿宋_GB2312"/>
          <w:color w:val="000000"/>
          <w:kern w:val="0"/>
          <w:sz w:val="24"/>
          <w:szCs w:val="24"/>
        </w:rPr>
        <w:t>，申报科研为主型，承担研究院智库建设工作考核合格者，</w:t>
      </w:r>
      <w:r>
        <w:rPr>
          <w:rFonts w:ascii="宋体" w:hAnsi="宋体" w:cs="仿宋_GB2312"/>
          <w:color w:val="000000"/>
          <w:kern w:val="0"/>
          <w:sz w:val="24"/>
          <w:szCs w:val="24"/>
        </w:rPr>
        <w:t>其教学工作量可不作要求</w:t>
      </w:r>
      <w:r>
        <w:rPr>
          <w:rFonts w:hint="eastAsia" w:ascii="宋体" w:hAnsi="宋体" w:cs="仿宋_GB2312"/>
          <w:color w:val="000000"/>
          <w:kern w:val="0"/>
          <w:sz w:val="24"/>
          <w:szCs w:val="24"/>
        </w:rPr>
        <w:t>。</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3</w:t>
      </w:r>
      <w:r>
        <w:rPr>
          <w:rFonts w:ascii="宋体" w:hAnsi="宋体" w:cs="仿宋_GB2312"/>
          <w:color w:val="000000"/>
          <w:kern w:val="0"/>
          <w:sz w:val="24"/>
          <w:szCs w:val="24"/>
        </w:rPr>
        <w:t>.经学院</w:t>
      </w:r>
      <w:r>
        <w:rPr>
          <w:rFonts w:hint="eastAsia" w:ascii="宋体" w:hAnsi="宋体" w:cs="仿宋_GB2312"/>
          <w:color w:val="000000"/>
          <w:kern w:val="0"/>
          <w:sz w:val="24"/>
          <w:szCs w:val="24"/>
        </w:rPr>
        <w:t>、</w:t>
      </w:r>
      <w:r>
        <w:rPr>
          <w:rFonts w:ascii="宋体" w:hAnsi="宋体" w:cs="仿宋_GB2312"/>
          <w:color w:val="000000"/>
          <w:kern w:val="0"/>
          <w:sz w:val="24"/>
          <w:szCs w:val="24"/>
        </w:rPr>
        <w:t>学校批准</w:t>
      </w:r>
      <w:r>
        <w:rPr>
          <w:rFonts w:hint="eastAsia" w:ascii="宋体" w:hAnsi="宋体" w:cs="仿宋_GB2312"/>
          <w:color w:val="000000"/>
          <w:kern w:val="0"/>
          <w:sz w:val="24"/>
          <w:szCs w:val="24"/>
        </w:rPr>
        <w:t>，</w:t>
      </w:r>
      <w:r>
        <w:rPr>
          <w:rFonts w:ascii="宋体" w:hAnsi="宋体" w:cs="仿宋_GB2312"/>
          <w:color w:val="000000"/>
          <w:kern w:val="0"/>
          <w:sz w:val="24"/>
          <w:szCs w:val="24"/>
        </w:rPr>
        <w:t>赴外攻读博士学位的</w:t>
      </w:r>
      <w:r>
        <w:rPr>
          <w:rFonts w:hint="eastAsia" w:ascii="宋体" w:hAnsi="宋体" w:cs="仿宋_GB2312"/>
          <w:color w:val="000000"/>
          <w:kern w:val="0"/>
          <w:sz w:val="24"/>
          <w:szCs w:val="24"/>
        </w:rPr>
        <w:t>教师，学制期内第一年教学基本工作量不作要求；</w:t>
      </w:r>
      <w:r>
        <w:rPr>
          <w:rFonts w:ascii="宋体" w:hAnsi="宋体" w:cs="仿宋_GB2312"/>
          <w:color w:val="000000"/>
          <w:kern w:val="0"/>
          <w:sz w:val="24"/>
          <w:szCs w:val="24"/>
        </w:rPr>
        <w:t>经学院</w:t>
      </w:r>
      <w:r>
        <w:rPr>
          <w:rFonts w:hint="eastAsia" w:ascii="宋体" w:hAnsi="宋体" w:cs="仿宋_GB2312"/>
          <w:color w:val="000000"/>
          <w:kern w:val="0"/>
          <w:sz w:val="24"/>
          <w:szCs w:val="24"/>
        </w:rPr>
        <w:t>、</w:t>
      </w:r>
      <w:r>
        <w:rPr>
          <w:rFonts w:ascii="宋体" w:hAnsi="宋体" w:cs="仿宋_GB2312"/>
          <w:color w:val="000000"/>
          <w:kern w:val="0"/>
          <w:sz w:val="24"/>
          <w:szCs w:val="24"/>
        </w:rPr>
        <w:t>学校批准</w:t>
      </w:r>
      <w:r>
        <w:rPr>
          <w:rFonts w:hint="eastAsia" w:ascii="宋体" w:hAnsi="宋体" w:cs="仿宋_GB2312"/>
          <w:color w:val="000000"/>
          <w:kern w:val="0"/>
          <w:sz w:val="24"/>
          <w:szCs w:val="24"/>
        </w:rPr>
        <w:t>，公派出国进修（研修）、工作的教师，其进修、工作期间的教学基本工作量不做要求。</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hint="eastAsia" w:ascii="宋体" w:hAnsi="宋体" w:cs="仿宋_GB2312"/>
          <w:color w:val="000000"/>
          <w:kern w:val="0"/>
          <w:sz w:val="24"/>
          <w:szCs w:val="24"/>
        </w:rPr>
        <w:t>4</w:t>
      </w:r>
      <w:r>
        <w:rPr>
          <w:rFonts w:ascii="宋体" w:hAnsi="宋体" w:cs="仿宋_GB2312"/>
          <w:color w:val="000000"/>
          <w:kern w:val="0"/>
          <w:sz w:val="24"/>
          <w:szCs w:val="24"/>
        </w:rPr>
        <w:t>.工伤</w:t>
      </w:r>
      <w:r>
        <w:rPr>
          <w:rFonts w:hint="eastAsia" w:ascii="宋体" w:hAnsi="宋体" w:cs="仿宋_GB2312"/>
          <w:color w:val="000000"/>
          <w:kern w:val="0"/>
          <w:sz w:val="24"/>
          <w:szCs w:val="24"/>
        </w:rPr>
        <w:t>、</w:t>
      </w:r>
      <w:r>
        <w:rPr>
          <w:rFonts w:ascii="宋体" w:hAnsi="宋体" w:cs="仿宋_GB2312"/>
          <w:color w:val="000000"/>
          <w:kern w:val="0"/>
          <w:sz w:val="24"/>
          <w:szCs w:val="24"/>
        </w:rPr>
        <w:t>产假期间</w:t>
      </w:r>
      <w:r>
        <w:rPr>
          <w:rFonts w:hint="eastAsia" w:ascii="宋体" w:hAnsi="宋体" w:cs="仿宋_GB2312"/>
          <w:color w:val="000000"/>
          <w:kern w:val="0"/>
          <w:sz w:val="24"/>
          <w:szCs w:val="24"/>
        </w:rPr>
        <w:t>，</w:t>
      </w:r>
      <w:r>
        <w:rPr>
          <w:rFonts w:ascii="宋体" w:hAnsi="宋体" w:cs="仿宋_GB2312"/>
          <w:color w:val="000000"/>
          <w:kern w:val="0"/>
          <w:sz w:val="24"/>
          <w:szCs w:val="24"/>
        </w:rPr>
        <w:t>教学工作量视同达到基本要求</w:t>
      </w:r>
      <w:r>
        <w:rPr>
          <w:rFonts w:hint="eastAsia" w:ascii="宋体" w:hAnsi="宋体" w:cs="仿宋_GB2312"/>
          <w:color w:val="000000"/>
          <w:kern w:val="0"/>
          <w:sz w:val="24"/>
          <w:szCs w:val="24"/>
        </w:rPr>
        <w:t>。</w:t>
      </w:r>
    </w:p>
    <w:p>
      <w:pPr>
        <w:autoSpaceDE w:val="0"/>
        <w:autoSpaceDN w:val="0"/>
        <w:adjustRightInd w:val="0"/>
        <w:spacing w:line="400" w:lineRule="exact"/>
        <w:ind w:firstLine="482" w:firstLineChars="200"/>
        <w:rPr>
          <w:rFonts w:ascii="宋体" w:hAnsi="宋体" w:cs="仿宋_GB2312"/>
          <w:b/>
          <w:bCs/>
          <w:color w:val="000000"/>
          <w:kern w:val="0"/>
          <w:sz w:val="24"/>
          <w:szCs w:val="24"/>
        </w:rPr>
      </w:pPr>
      <w:r>
        <w:rPr>
          <w:rFonts w:hint="eastAsia" w:ascii="宋体" w:hAnsi="宋体" w:cs="仿宋_GB2312"/>
          <w:b/>
          <w:bCs/>
          <w:color w:val="000000"/>
          <w:kern w:val="0"/>
          <w:sz w:val="24"/>
          <w:szCs w:val="24"/>
        </w:rPr>
        <w:t>（六）其他</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1.</w:t>
      </w:r>
      <w:r>
        <w:rPr>
          <w:rFonts w:hint="eastAsia" w:ascii="宋体" w:hAnsi="宋体" w:cs="仿宋_GB2312"/>
          <w:color w:val="000000"/>
          <w:kern w:val="0"/>
          <w:sz w:val="24"/>
          <w:szCs w:val="24"/>
        </w:rPr>
        <w:t>校聘教授参加正高层级定档，校聘副教授及享受副教授待遇的人员参与副高层级定档。</w:t>
      </w:r>
    </w:p>
    <w:p>
      <w:pPr>
        <w:autoSpaceDE w:val="0"/>
        <w:autoSpaceDN w:val="0"/>
        <w:adjustRightInd w:val="0"/>
        <w:spacing w:line="400" w:lineRule="exact"/>
        <w:ind w:firstLine="480" w:firstLineChars="200"/>
        <w:rPr>
          <w:rFonts w:ascii="宋体" w:hAnsi="宋体" w:cs="仿宋_GB2312"/>
          <w:color w:val="000000"/>
          <w:kern w:val="0"/>
          <w:sz w:val="24"/>
          <w:szCs w:val="24"/>
        </w:rPr>
      </w:pPr>
      <w:r>
        <w:rPr>
          <w:rFonts w:ascii="宋体" w:hAnsi="宋体" w:cs="仿宋_GB2312"/>
          <w:color w:val="000000"/>
          <w:kern w:val="0"/>
          <w:sz w:val="24"/>
          <w:szCs w:val="24"/>
        </w:rPr>
        <w:t>2.</w:t>
      </w:r>
      <w:r>
        <w:rPr>
          <w:rFonts w:hint="eastAsia" w:ascii="宋体" w:hAnsi="宋体" w:cs="仿宋_GB2312"/>
          <w:color w:val="000000"/>
          <w:kern w:val="0"/>
          <w:sz w:val="24"/>
          <w:szCs w:val="24"/>
        </w:rPr>
        <w:t>符合学校“低职高定”条件的相关人员，先参加学院岗位绩效定档，后期根据学校统一部署，另行申报评定。</w:t>
      </w:r>
    </w:p>
    <w:p>
      <w:pPr>
        <w:autoSpaceDE w:val="0"/>
        <w:autoSpaceDN w:val="0"/>
        <w:adjustRightInd w:val="0"/>
        <w:spacing w:line="400" w:lineRule="exact"/>
        <w:ind w:firstLine="480" w:firstLineChars="200"/>
        <w:rPr>
          <w:rFonts w:ascii="宋体" w:hAnsi="宋体" w:cs="仿宋_GB2312"/>
          <w:color w:val="FF0000"/>
          <w:kern w:val="0"/>
          <w:sz w:val="24"/>
          <w:szCs w:val="24"/>
        </w:rPr>
      </w:pPr>
      <w:r>
        <w:rPr>
          <w:rFonts w:ascii="宋体" w:hAnsi="宋体" w:cs="仿宋_GB2312"/>
          <w:color w:val="000000"/>
          <w:kern w:val="0"/>
          <w:sz w:val="24"/>
          <w:szCs w:val="24"/>
        </w:rPr>
        <w:t>3.本文件由院岗位聘用工作小组负责解释</w:t>
      </w:r>
      <w:r>
        <w:rPr>
          <w:rFonts w:hint="eastAsia" w:ascii="宋体" w:hAnsi="宋体" w:cs="仿宋_GB2312"/>
          <w:color w:val="000000"/>
          <w:kern w:val="0"/>
          <w:sz w:val="24"/>
          <w:szCs w:val="24"/>
        </w:rPr>
        <w:t>。</w:t>
      </w:r>
    </w:p>
    <w:p>
      <w:pPr>
        <w:autoSpaceDE w:val="0"/>
        <w:autoSpaceDN w:val="0"/>
        <w:adjustRightInd w:val="0"/>
        <w:spacing w:line="400" w:lineRule="exact"/>
        <w:ind w:firstLine="480" w:firstLineChars="200"/>
        <w:rPr>
          <w:rFonts w:ascii="宋体" w:hAnsi="宋体" w:cs="仿宋_GB2312"/>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5</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D4"/>
    <w:rsid w:val="00000673"/>
    <w:rsid w:val="00003D30"/>
    <w:rsid w:val="000219D1"/>
    <w:rsid w:val="00042182"/>
    <w:rsid w:val="00055AAA"/>
    <w:rsid w:val="000564AE"/>
    <w:rsid w:val="00064F98"/>
    <w:rsid w:val="000A6332"/>
    <w:rsid w:val="000D1E7A"/>
    <w:rsid w:val="000D28B0"/>
    <w:rsid w:val="000D4D6D"/>
    <w:rsid w:val="000F37A1"/>
    <w:rsid w:val="000F3AAC"/>
    <w:rsid w:val="0010644A"/>
    <w:rsid w:val="00146CD6"/>
    <w:rsid w:val="001566BC"/>
    <w:rsid w:val="00167B41"/>
    <w:rsid w:val="001909C4"/>
    <w:rsid w:val="00191C03"/>
    <w:rsid w:val="00193691"/>
    <w:rsid w:val="001979C8"/>
    <w:rsid w:val="001A14C1"/>
    <w:rsid w:val="001A3837"/>
    <w:rsid w:val="001A38A3"/>
    <w:rsid w:val="001B18AC"/>
    <w:rsid w:val="001C5F37"/>
    <w:rsid w:val="001F5939"/>
    <w:rsid w:val="00203A09"/>
    <w:rsid w:val="00225BC3"/>
    <w:rsid w:val="00242A4F"/>
    <w:rsid w:val="00263259"/>
    <w:rsid w:val="002673C9"/>
    <w:rsid w:val="002B34FF"/>
    <w:rsid w:val="002C6319"/>
    <w:rsid w:val="002D0ACD"/>
    <w:rsid w:val="002D1A7E"/>
    <w:rsid w:val="002F499F"/>
    <w:rsid w:val="0031003E"/>
    <w:rsid w:val="003249BF"/>
    <w:rsid w:val="003336CD"/>
    <w:rsid w:val="00336CB4"/>
    <w:rsid w:val="003549E9"/>
    <w:rsid w:val="00366DDB"/>
    <w:rsid w:val="00396546"/>
    <w:rsid w:val="003A55F1"/>
    <w:rsid w:val="003C7675"/>
    <w:rsid w:val="003D0466"/>
    <w:rsid w:val="003D50EC"/>
    <w:rsid w:val="003F0345"/>
    <w:rsid w:val="003F0C39"/>
    <w:rsid w:val="003F1FA2"/>
    <w:rsid w:val="004060E0"/>
    <w:rsid w:val="00414075"/>
    <w:rsid w:val="00414E4F"/>
    <w:rsid w:val="004153F4"/>
    <w:rsid w:val="00441A8A"/>
    <w:rsid w:val="0044757C"/>
    <w:rsid w:val="004557DB"/>
    <w:rsid w:val="004657F6"/>
    <w:rsid w:val="00492B99"/>
    <w:rsid w:val="004B7D86"/>
    <w:rsid w:val="004C0195"/>
    <w:rsid w:val="004D22AB"/>
    <w:rsid w:val="004E758F"/>
    <w:rsid w:val="005044C3"/>
    <w:rsid w:val="005121B2"/>
    <w:rsid w:val="005200F2"/>
    <w:rsid w:val="00534BE2"/>
    <w:rsid w:val="005476F2"/>
    <w:rsid w:val="00551756"/>
    <w:rsid w:val="00562BCB"/>
    <w:rsid w:val="005633D0"/>
    <w:rsid w:val="00565D79"/>
    <w:rsid w:val="00581245"/>
    <w:rsid w:val="0058425A"/>
    <w:rsid w:val="00585024"/>
    <w:rsid w:val="005874FC"/>
    <w:rsid w:val="00594296"/>
    <w:rsid w:val="005B2EF5"/>
    <w:rsid w:val="005B45EB"/>
    <w:rsid w:val="005C33FE"/>
    <w:rsid w:val="005C5660"/>
    <w:rsid w:val="005D39A5"/>
    <w:rsid w:val="005D3CC9"/>
    <w:rsid w:val="005E2CA9"/>
    <w:rsid w:val="00606CA7"/>
    <w:rsid w:val="006730B7"/>
    <w:rsid w:val="00683613"/>
    <w:rsid w:val="006A7F23"/>
    <w:rsid w:val="006B09D8"/>
    <w:rsid w:val="006C054D"/>
    <w:rsid w:val="006C1AB1"/>
    <w:rsid w:val="006F1A7B"/>
    <w:rsid w:val="007024FD"/>
    <w:rsid w:val="00703D62"/>
    <w:rsid w:val="00716D69"/>
    <w:rsid w:val="00723525"/>
    <w:rsid w:val="00742522"/>
    <w:rsid w:val="00742D6C"/>
    <w:rsid w:val="00743FEB"/>
    <w:rsid w:val="007605CF"/>
    <w:rsid w:val="00764230"/>
    <w:rsid w:val="00764BD5"/>
    <w:rsid w:val="007738B6"/>
    <w:rsid w:val="00774624"/>
    <w:rsid w:val="0078717A"/>
    <w:rsid w:val="007A1EB4"/>
    <w:rsid w:val="007B3F6F"/>
    <w:rsid w:val="007C01EC"/>
    <w:rsid w:val="007E2E84"/>
    <w:rsid w:val="007F13DA"/>
    <w:rsid w:val="007F40EC"/>
    <w:rsid w:val="007F64FB"/>
    <w:rsid w:val="00810782"/>
    <w:rsid w:val="0081293B"/>
    <w:rsid w:val="00881A1D"/>
    <w:rsid w:val="00883AE0"/>
    <w:rsid w:val="00884161"/>
    <w:rsid w:val="008871D6"/>
    <w:rsid w:val="008959F8"/>
    <w:rsid w:val="008B4B80"/>
    <w:rsid w:val="008C3CBD"/>
    <w:rsid w:val="008F2E77"/>
    <w:rsid w:val="009140D2"/>
    <w:rsid w:val="009208CC"/>
    <w:rsid w:val="00934737"/>
    <w:rsid w:val="00943524"/>
    <w:rsid w:val="00943D24"/>
    <w:rsid w:val="00950789"/>
    <w:rsid w:val="0096440F"/>
    <w:rsid w:val="009679C6"/>
    <w:rsid w:val="00976EBD"/>
    <w:rsid w:val="00985E0B"/>
    <w:rsid w:val="0099603F"/>
    <w:rsid w:val="009A01C0"/>
    <w:rsid w:val="009A45AF"/>
    <w:rsid w:val="009F7FCF"/>
    <w:rsid w:val="00A03328"/>
    <w:rsid w:val="00A07578"/>
    <w:rsid w:val="00A14AE9"/>
    <w:rsid w:val="00A17CEE"/>
    <w:rsid w:val="00A41B8B"/>
    <w:rsid w:val="00A45C61"/>
    <w:rsid w:val="00A84564"/>
    <w:rsid w:val="00A9253F"/>
    <w:rsid w:val="00AA530E"/>
    <w:rsid w:val="00AC696F"/>
    <w:rsid w:val="00AE1887"/>
    <w:rsid w:val="00AF5AB6"/>
    <w:rsid w:val="00AF7767"/>
    <w:rsid w:val="00B054C5"/>
    <w:rsid w:val="00B07129"/>
    <w:rsid w:val="00B159F2"/>
    <w:rsid w:val="00B32B41"/>
    <w:rsid w:val="00B429D4"/>
    <w:rsid w:val="00B4740B"/>
    <w:rsid w:val="00B63763"/>
    <w:rsid w:val="00B66D80"/>
    <w:rsid w:val="00B72139"/>
    <w:rsid w:val="00B83932"/>
    <w:rsid w:val="00B86841"/>
    <w:rsid w:val="00B94C59"/>
    <w:rsid w:val="00BA488A"/>
    <w:rsid w:val="00BB1FBE"/>
    <w:rsid w:val="00BD6153"/>
    <w:rsid w:val="00C101D4"/>
    <w:rsid w:val="00C21729"/>
    <w:rsid w:val="00C41959"/>
    <w:rsid w:val="00C43B4B"/>
    <w:rsid w:val="00C47065"/>
    <w:rsid w:val="00C52CE9"/>
    <w:rsid w:val="00C743DE"/>
    <w:rsid w:val="00C80B74"/>
    <w:rsid w:val="00C83A2A"/>
    <w:rsid w:val="00CA0268"/>
    <w:rsid w:val="00CC6B98"/>
    <w:rsid w:val="00CF7C37"/>
    <w:rsid w:val="00D07564"/>
    <w:rsid w:val="00D37600"/>
    <w:rsid w:val="00D37CBF"/>
    <w:rsid w:val="00D615AC"/>
    <w:rsid w:val="00D904FB"/>
    <w:rsid w:val="00D97317"/>
    <w:rsid w:val="00DB2BF8"/>
    <w:rsid w:val="00DC72A3"/>
    <w:rsid w:val="00DD2A4D"/>
    <w:rsid w:val="00DE1317"/>
    <w:rsid w:val="00DF23C1"/>
    <w:rsid w:val="00E006A0"/>
    <w:rsid w:val="00E03838"/>
    <w:rsid w:val="00E121A0"/>
    <w:rsid w:val="00E42681"/>
    <w:rsid w:val="00E464CF"/>
    <w:rsid w:val="00E710D1"/>
    <w:rsid w:val="00E72B19"/>
    <w:rsid w:val="00E94C1C"/>
    <w:rsid w:val="00E95531"/>
    <w:rsid w:val="00EA44E3"/>
    <w:rsid w:val="00EF5093"/>
    <w:rsid w:val="00F03E9A"/>
    <w:rsid w:val="00F23B22"/>
    <w:rsid w:val="00F35193"/>
    <w:rsid w:val="00F519C3"/>
    <w:rsid w:val="00F6617F"/>
    <w:rsid w:val="00F677F9"/>
    <w:rsid w:val="00F969B6"/>
    <w:rsid w:val="00FA4206"/>
    <w:rsid w:val="00FA750A"/>
    <w:rsid w:val="00FB5F2B"/>
    <w:rsid w:val="00FB7922"/>
    <w:rsid w:val="00FC46BA"/>
    <w:rsid w:val="00FD50C5"/>
    <w:rsid w:val="00FD58D8"/>
    <w:rsid w:val="00FD7DB1"/>
    <w:rsid w:val="00FE0574"/>
    <w:rsid w:val="00FF49CF"/>
    <w:rsid w:val="120A3E26"/>
    <w:rsid w:val="1D2D3460"/>
    <w:rsid w:val="3E98643D"/>
    <w:rsid w:val="5A0D2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0"/>
    <w:rPr>
      <w:sz w:val="18"/>
      <w:szCs w:val="18"/>
    </w:rPr>
  </w:style>
  <w:style w:type="paragraph" w:styleId="3">
    <w:name w:val="footer"/>
    <w:basedOn w:val="1"/>
    <w:link w:val="11"/>
    <w:unhideWhenUsed/>
    <w:uiPriority w:val="99"/>
    <w:pPr>
      <w:tabs>
        <w:tab w:val="center" w:pos="4153"/>
        <w:tab w:val="right" w:pos="8306"/>
      </w:tabs>
      <w:snapToGrid w:val="0"/>
      <w:jc w:val="left"/>
    </w:pPr>
    <w:rPr>
      <w:rFonts w:cs="黑体"/>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cs="黑体"/>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9">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0">
    <w:name w:val="页眉 Char"/>
    <w:basedOn w:val="8"/>
    <w:link w:val="4"/>
    <w:semiHidden/>
    <w:uiPriority w:val="99"/>
    <w:rPr>
      <w:sz w:val="18"/>
      <w:szCs w:val="18"/>
    </w:rPr>
  </w:style>
  <w:style w:type="character" w:customStyle="1" w:styleId="11">
    <w:name w:val="页脚 Char"/>
    <w:basedOn w:val="8"/>
    <w:link w:val="3"/>
    <w:uiPriority w:val="99"/>
    <w:rPr>
      <w:sz w:val="18"/>
      <w:szCs w:val="18"/>
    </w:rPr>
  </w:style>
  <w:style w:type="paragraph" w:styleId="12">
    <w:name w:val="List Paragraph"/>
    <w:basedOn w:val="1"/>
    <w:uiPriority w:val="99"/>
    <w:pPr>
      <w:ind w:firstLine="420" w:firstLineChars="200"/>
    </w:pPr>
  </w:style>
  <w:style w:type="character" w:customStyle="1" w:styleId="13">
    <w:name w:val="批注框文本 Char"/>
    <w:basedOn w:val="8"/>
    <w:link w:val="2"/>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548</Words>
  <Characters>3129</Characters>
  <Lines>26</Lines>
  <Paragraphs>7</Paragraphs>
  <TotalTime>65</TotalTime>
  <ScaleCrop>false</ScaleCrop>
  <LinksUpToDate>false</LinksUpToDate>
  <CharactersWithSpaces>3670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2019-07-24T09:33:00Z</dcterms:created>
  <dc:creator>系统管理员</dc:creator>
  <cp:lastModifiedBy>Administrator</cp:lastModifiedBy>
  <cp:lastPrinted>2019-07-26T09:00:25Z</cp:lastPrinted>
  <dcterms:modified xsi:type="dcterms:W3CDTF">2019-07-26T09:00:58Z</dcterms:modified>
  <dc:title>文学院2019-2021年聘期教学科研岗四档及以下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