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color w:val="333333"/>
          <w:kern w:val="0"/>
          <w:sz w:val="28"/>
          <w:szCs w:val="28"/>
          <w:lang w:eastAsia="zh-CN"/>
        </w:rPr>
      </w:pPr>
      <w:r>
        <w:rPr>
          <w:rFonts w:hint="eastAsia" w:ascii="宋体" w:hAnsi="宋体" w:eastAsia="宋体" w:cs="宋体"/>
          <w:b/>
          <w:color w:val="333333"/>
          <w:kern w:val="0"/>
          <w:sz w:val="28"/>
          <w:szCs w:val="28"/>
          <w:lang w:eastAsia="zh-CN"/>
        </w:rPr>
        <w:drawing>
          <wp:inline distT="0" distB="0" distL="114300" distR="114300">
            <wp:extent cx="968375" cy="1409065"/>
            <wp:effectExtent l="0" t="0" r="3175" b="5080"/>
            <wp:docPr id="1" name="图片 1" descr="护照照片SM0233-140328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护照照片SM0233-1403280012"/>
                    <pic:cNvPicPr>
                      <a:picLocks noChangeAspect="1"/>
                    </pic:cNvPicPr>
                  </pic:nvPicPr>
                  <pic:blipFill>
                    <a:blip r:embed="rId4"/>
                    <a:stretch>
                      <a:fillRect/>
                    </a:stretch>
                  </pic:blipFill>
                  <pic:spPr>
                    <a:xfrm>
                      <a:off x="0" y="0"/>
                      <a:ext cx="968375" cy="1409065"/>
                    </a:xfrm>
                    <a:prstGeom prst="rect">
                      <a:avLst/>
                    </a:prstGeom>
                  </pic:spPr>
                </pic:pic>
              </a:graphicData>
            </a:graphic>
          </wp:inline>
        </w:drawing>
      </w:r>
    </w:p>
    <w:p>
      <w:pPr>
        <w:widowControl/>
        <w:jc w:val="left"/>
        <w:rPr>
          <w:rFonts w:hint="eastAsia" w:ascii="宋体" w:hAnsi="宋体" w:eastAsia="宋体" w:cs="宋体"/>
          <w:b/>
          <w:color w:val="333333"/>
          <w:kern w:val="0"/>
          <w:sz w:val="28"/>
          <w:szCs w:val="28"/>
          <w:lang w:eastAsia="zh-CN"/>
        </w:rPr>
      </w:pPr>
      <w:r>
        <w:rPr>
          <w:rFonts w:hint="eastAsia" w:ascii="宋体" w:hAnsi="宋体" w:eastAsia="宋体" w:cs="宋体"/>
          <w:b/>
          <w:color w:val="333333"/>
          <w:kern w:val="0"/>
          <w:sz w:val="28"/>
          <w:szCs w:val="28"/>
        </w:rPr>
        <w:t>姓名</w:t>
      </w:r>
      <w:r>
        <w:rPr>
          <w:rFonts w:hint="eastAsia" w:ascii="宋体" w:hAnsi="宋体" w:eastAsia="宋体" w:cs="宋体"/>
          <w:b/>
          <w:color w:val="333333"/>
          <w:kern w:val="0"/>
          <w:sz w:val="28"/>
          <w:szCs w:val="28"/>
          <w:lang w:eastAsia="zh-CN"/>
        </w:rPr>
        <w:t>：</w:t>
      </w:r>
      <w:r>
        <w:rPr>
          <w:rFonts w:hint="eastAsia" w:ascii="宋体" w:hAnsi="宋体" w:eastAsia="宋体" w:cs="宋体"/>
          <w:b/>
          <w:color w:val="333333"/>
          <w:kern w:val="0"/>
          <w:sz w:val="28"/>
          <w:szCs w:val="28"/>
          <w:lang w:val="en-US" w:eastAsia="zh-CN"/>
        </w:rPr>
        <w:t>王国华</w:t>
      </w:r>
    </w:p>
    <w:p>
      <w:pPr>
        <w:widowControl/>
        <w:jc w:val="left"/>
        <w:rPr>
          <w:rFonts w:ascii="宋体" w:hAnsi="宋体" w:eastAsia="宋体" w:cs="宋体"/>
          <w:b/>
          <w:color w:val="333333"/>
          <w:kern w:val="0"/>
          <w:sz w:val="28"/>
          <w:szCs w:val="28"/>
        </w:rPr>
      </w:pPr>
      <w:r>
        <w:rPr>
          <w:rFonts w:hint="eastAsia" w:ascii="宋体" w:hAnsi="宋体" w:eastAsia="宋体" w:cs="宋体"/>
          <w:b/>
          <w:color w:val="333333"/>
          <w:kern w:val="0"/>
          <w:sz w:val="28"/>
          <w:szCs w:val="28"/>
        </w:rPr>
        <w:t>职称</w:t>
      </w:r>
      <w:r>
        <w:rPr>
          <w:rFonts w:hint="eastAsia" w:ascii="宋体" w:hAnsi="宋体" w:eastAsia="宋体" w:cs="宋体"/>
          <w:b/>
          <w:color w:val="333333"/>
          <w:kern w:val="0"/>
          <w:sz w:val="28"/>
          <w:szCs w:val="28"/>
          <w:lang w:eastAsia="zh-CN"/>
        </w:rPr>
        <w:t>：</w:t>
      </w:r>
      <w:r>
        <w:rPr>
          <w:rFonts w:hint="eastAsia" w:ascii="宋体" w:hAnsi="宋体" w:eastAsia="宋体" w:cs="宋体"/>
          <w:b/>
          <w:color w:val="333333"/>
          <w:kern w:val="0"/>
          <w:sz w:val="28"/>
          <w:szCs w:val="28"/>
          <w:lang w:val="en-US" w:eastAsia="zh-CN"/>
        </w:rPr>
        <w:t>教授</w:t>
      </w:r>
    </w:p>
    <w:p>
      <w:pPr>
        <w:widowControl/>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个人简介</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王国华</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男，</w:t>
      </w:r>
      <w:r>
        <w:rPr>
          <w:rFonts w:hint="eastAsia" w:ascii="Times New Roman" w:hAnsi="Times New Roman" w:eastAsia="宋体" w:cs="Times New Roman"/>
          <w:color w:val="000000" w:themeColor="text1"/>
          <w:kern w:val="0"/>
          <w:sz w:val="24"/>
          <w:szCs w:val="24"/>
          <w14:textFill>
            <w14:solidFill>
              <w14:schemeClr w14:val="tx1"/>
            </w14:solidFill>
          </w14:textFill>
        </w:rPr>
        <w:t>博士、教授、研究生导师</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1998年毕业于中国科学技术大学信息管理（科技信息）专业，获理学学士学位</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2003年毕业于中国科学技术大学管理科学与工程专业，获管理学博士学位；2003年7月始在中国科学技术大学管理学院任教，期间曾担任管理科学系副主任助理、学院物流与供应链管理教研室主任。先后主持和主要参与国家自然科学基金、国家社科基金项目以及教育部人文社会科学规划基金项目等省部级课题多项，完成众多企事业单位委托横向课题。</w:t>
      </w:r>
    </w:p>
    <w:p>
      <w:pPr>
        <w:widowControl/>
        <w:outlineLvl w:val="2"/>
        <w:rPr>
          <w:rFonts w:ascii="微软雅黑" w:hAnsi="微软雅黑" w:eastAsia="微软雅黑" w:cs="宋体"/>
          <w:color w:val="666666"/>
          <w:kern w:val="0"/>
          <w:sz w:val="18"/>
          <w:szCs w:val="18"/>
        </w:rPr>
      </w:pPr>
      <w:r>
        <w:rPr>
          <w:rFonts w:ascii="微软雅黑" w:hAnsi="微软雅黑" w:eastAsia="微软雅黑" w:cs="宋体"/>
          <w:b/>
          <w:bCs/>
          <w:color w:val="333333"/>
          <w:kern w:val="0"/>
          <w:sz w:val="27"/>
          <w:szCs w:val="27"/>
        </w:rPr>
        <w:t>专业研究领域</w:t>
      </w:r>
      <w:r>
        <w:rPr>
          <w:rFonts w:hint="eastAsia" w:ascii="宋体" w:hAnsi="宋体" w:eastAsia="宋体" w:cs="宋体"/>
          <w:b/>
          <w:color w:val="333333"/>
          <w:kern w:val="0"/>
          <w:sz w:val="28"/>
          <w:szCs w:val="28"/>
        </w:rPr>
        <w:t>（必填*）</w:t>
      </w:r>
    </w:p>
    <w:p>
      <w:pPr>
        <w:widowControl/>
        <w:spacing w:after="45" w:line="360" w:lineRule="auto"/>
        <w:rPr>
          <w:rFonts w:hint="eastAsia"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决策分析、系统工程、物流与供应链管理</w:t>
      </w:r>
    </w:p>
    <w:p>
      <w:pPr>
        <w:widowControl/>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专著与论集（必填*）</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无</w:t>
      </w:r>
    </w:p>
    <w:p>
      <w:pPr>
        <w:widowControl/>
        <w:outlineLvl w:val="2"/>
        <w:rPr>
          <w:rFonts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t>学术论文（选填）</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1. Studies of numerical scale pedigree in correspondence with verbal scale, Foundations of Intelligent Systems，Advances in Intelligent Systems and Computing 277, 2014, 719-729.</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bookmarkStart w:id="0" w:name="_GoBack"/>
      <w:bookmarkEnd w:id="0"/>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 xml:space="preserve">2. An interactive method to solve the priorities of attributes while the preferences of evaluated units are under considering, Communications in Computer and Information Science, Springer-Verlag，Part I, 97 CCIS, 2010, 132-143. </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3. 决策理论与方法. 合肥: 中国科学技术大学出版社, 2014.</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4. 一种考虑先验偏好的协商均衡评估模型, 系统工程2012.9: 101-105.</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5. 多专家判断的模糊偏好信息集结规划方法. 中国管理科学, 2005, 13(4): 74-77.</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6. AHP中专家判断信息的提取及一致性调整的方法. 运筹与管理, 2004, 13(6): 41-44.</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7. 判断距阵迁移信息提取与预测. 管理科学学报, 2002, 2(5): 91-94.</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8. 一种多专家判断信息二次合成方法. 系统工程与电子技术, 2002, 24(9): 38-41.</w:t>
      </w:r>
    </w:p>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9. 多层次交互式确定权重的方法. 系统工程学报, 2002, 17(4): 358-363.</w:t>
      </w:r>
    </w:p>
    <w:p>
      <w:pPr>
        <w:widowControl/>
        <w:outlineLvl w:val="2"/>
        <w:rPr>
          <w:rFonts w:ascii="微软雅黑" w:hAnsi="微软雅黑" w:eastAsia="微软雅黑" w:cs="宋体"/>
          <w:color w:val="666666"/>
          <w:kern w:val="0"/>
          <w:sz w:val="18"/>
          <w:szCs w:val="18"/>
        </w:rPr>
      </w:pPr>
      <w:r>
        <w:rPr>
          <w:rFonts w:hint="eastAsia" w:ascii="微软雅黑" w:hAnsi="微软雅黑" w:eastAsia="微软雅黑" w:cs="宋体"/>
          <w:b/>
          <w:bCs/>
          <w:color w:val="333333"/>
          <w:kern w:val="0"/>
          <w:sz w:val="27"/>
          <w:szCs w:val="27"/>
        </w:rPr>
        <w:t>主要科研项目</w:t>
      </w:r>
      <w:r>
        <w:rPr>
          <w:rFonts w:ascii="微软雅黑" w:hAnsi="微软雅黑" w:eastAsia="微软雅黑" w:cs="宋体"/>
          <w:color w:val="666666"/>
          <w:kern w:val="0"/>
          <w:sz w:val="18"/>
          <w:szCs w:val="18"/>
        </w:rPr>
        <w:t> </w:t>
      </w:r>
      <w:r>
        <w:rPr>
          <w:rFonts w:hint="eastAsia" w:ascii="微软雅黑" w:hAnsi="微软雅黑" w:eastAsia="微软雅黑" w:cs="宋体"/>
          <w:b/>
          <w:bCs/>
          <w:color w:val="333333"/>
          <w:kern w:val="0"/>
          <w:sz w:val="27"/>
          <w:szCs w:val="27"/>
        </w:rPr>
        <w:t>（选填）</w:t>
      </w:r>
    </w:p>
    <w:tbl>
      <w:tblPr>
        <w:tblStyle w:val="7"/>
        <w:tblpPr w:leftFromText="180" w:rightFromText="180" w:vertAnchor="text" w:horzAnchor="margin" w:tblpXSpec="right" w:tblpY="2"/>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28"/>
        <w:gridCol w:w="4840"/>
        <w:gridCol w:w="1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right"/>
        </w:trPr>
        <w:tc>
          <w:tcPr>
            <w:tcW w:w="1366"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国家自然科学基金</w:t>
            </w:r>
          </w:p>
        </w:tc>
        <w:tc>
          <w:tcPr>
            <w:tcW w:w="2840"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基于博弈的相关性评估方法及其应用研究（71101076）</w:t>
            </w:r>
          </w:p>
        </w:tc>
        <w:tc>
          <w:tcPr>
            <w:tcW w:w="793"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2012-2014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right"/>
        </w:trPr>
        <w:tc>
          <w:tcPr>
            <w:tcW w:w="1366"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教育部人文社科基金</w:t>
            </w:r>
          </w:p>
        </w:tc>
        <w:tc>
          <w:tcPr>
            <w:tcW w:w="2840"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交互式相关性评估模型及应用研究（10YJA630147）</w:t>
            </w:r>
          </w:p>
        </w:tc>
        <w:tc>
          <w:tcPr>
            <w:tcW w:w="793"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2011-2013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right"/>
        </w:trPr>
        <w:tc>
          <w:tcPr>
            <w:tcW w:w="1366"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国家社会科学基金</w:t>
            </w:r>
          </w:p>
        </w:tc>
        <w:tc>
          <w:tcPr>
            <w:tcW w:w="2840"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供应链应对突变风险管理的协调机制及计量模型研究(10CGL025)</w:t>
            </w:r>
          </w:p>
        </w:tc>
        <w:tc>
          <w:tcPr>
            <w:tcW w:w="793"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2011-2013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right"/>
        </w:trPr>
        <w:tc>
          <w:tcPr>
            <w:tcW w:w="1366"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国家自然科学基金</w:t>
            </w:r>
          </w:p>
        </w:tc>
        <w:tc>
          <w:tcPr>
            <w:tcW w:w="2840"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资源保护型旅游供应链协调机制研究（70761001）</w:t>
            </w:r>
          </w:p>
        </w:tc>
        <w:tc>
          <w:tcPr>
            <w:tcW w:w="793" w:type="pct"/>
            <w:tcBorders>
              <w:tl2br w:val="nil"/>
              <w:tr2bl w:val="nil"/>
            </w:tcBorders>
            <w:noWrap w:val="0"/>
            <w:vAlign w:val="center"/>
          </w:tcPr>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2008-2010</w:t>
            </w:r>
          </w:p>
        </w:tc>
      </w:tr>
    </w:tbl>
    <w:p>
      <w:pPr>
        <w:widowControl/>
        <w:spacing w:after="45" w:line="360" w:lineRule="auto"/>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pPr>
    </w:p>
    <w:p>
      <w:pPr>
        <w:widowControl/>
        <w:outlineLvl w:val="2"/>
        <w:rPr>
          <w:rFonts w:ascii="微软雅黑" w:hAnsi="微软雅黑" w:eastAsia="微软雅黑" w:cs="宋体"/>
          <w:b/>
          <w:bCs/>
          <w:color w:val="333333"/>
          <w:kern w:val="0"/>
          <w:sz w:val="27"/>
          <w:szCs w:val="27"/>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wOTkzNGM0ZTFlOTI3ZjEwYjc1OTA1Y2UxNWU1NmYifQ=="/>
  </w:docVars>
  <w:rsids>
    <w:rsidRoot w:val="006869F2"/>
    <w:rsid w:val="000D54A3"/>
    <w:rsid w:val="00147487"/>
    <w:rsid w:val="00176ED7"/>
    <w:rsid w:val="00234337"/>
    <w:rsid w:val="003C06DF"/>
    <w:rsid w:val="00526887"/>
    <w:rsid w:val="006869F2"/>
    <w:rsid w:val="00691AAB"/>
    <w:rsid w:val="00735F4B"/>
    <w:rsid w:val="007739F1"/>
    <w:rsid w:val="007B2E36"/>
    <w:rsid w:val="00827B66"/>
    <w:rsid w:val="00887A86"/>
    <w:rsid w:val="00AB4AA4"/>
    <w:rsid w:val="00B051AA"/>
    <w:rsid w:val="00B866F7"/>
    <w:rsid w:val="00BB79DC"/>
    <w:rsid w:val="00C47A58"/>
    <w:rsid w:val="00C73D8E"/>
    <w:rsid w:val="00CE55CB"/>
    <w:rsid w:val="00F00116"/>
    <w:rsid w:val="37265173"/>
    <w:rsid w:val="3AA42D54"/>
    <w:rsid w:val="46FC7311"/>
    <w:rsid w:val="7125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uiPriority w:val="99"/>
    <w:rPr>
      <w:sz w:val="18"/>
      <w:szCs w:val="18"/>
    </w:rPr>
  </w:style>
  <w:style w:type="character" w:customStyle="1" w:styleId="11">
    <w:name w:val="标题 3 字符"/>
    <w:basedOn w:val="8"/>
    <w:link w:val="2"/>
    <w:uiPriority w:val="9"/>
    <w:rPr>
      <w:rFonts w:ascii="宋体" w:hAnsi="宋体" w:eastAsia="宋体" w:cs="宋体"/>
      <w:b/>
      <w:bCs/>
      <w:kern w:val="0"/>
      <w:sz w:val="27"/>
      <w:szCs w:val="27"/>
    </w:rPr>
  </w:style>
  <w:style w:type="character" w:customStyle="1" w:styleId="12">
    <w:name w:val="listtext"/>
    <w:basedOn w:val="8"/>
    <w:uiPriority w:val="0"/>
  </w:style>
  <w:style w:type="character" w:customStyle="1" w:styleId="13">
    <w:name w:val="name"/>
    <w:basedOn w:val="8"/>
    <w:qFormat/>
    <w:uiPriority w:val="0"/>
  </w:style>
  <w:style w:type="character" w:customStyle="1" w:styleId="14">
    <w:name w:val="position"/>
    <w:basedOn w:val="8"/>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649</Words>
  <Characters>1112</Characters>
  <Lines>5</Lines>
  <Paragraphs>1</Paragraphs>
  <TotalTime>1</TotalTime>
  <ScaleCrop>false</ScaleCrop>
  <LinksUpToDate>false</LinksUpToDate>
  <CharactersWithSpaces>1205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2023-07-07T02:24:00Z</dcterms:created>
  <dc:creator>admin</dc:creator>
  <cp:lastModifiedBy>Amanda</cp:lastModifiedBy>
  <dcterms:modified xsi:type="dcterms:W3CDTF">2023-07-28T08:13:32Z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E207F2EC7C4F4580AF83350404F24E91_13</vt:lpwstr>
  </property>
</Properties>
</file>